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E9C" w:rsidRDefault="00855E9C" w:rsidP="00855E9C">
      <w:pPr>
        <w:shd w:val="clear" w:color="auto" w:fill="FFFFFF"/>
        <w:jc w:val="center"/>
        <w:rPr>
          <w:b/>
          <w:color w:val="000000"/>
          <w:kern w:val="28"/>
          <w:sz w:val="26"/>
          <w:szCs w:val="26"/>
          <w:lang w:val="uk-UA"/>
        </w:rPr>
      </w:pPr>
      <w:r>
        <w:rPr>
          <w:b/>
          <w:color w:val="000000"/>
          <w:kern w:val="28"/>
          <w:sz w:val="26"/>
          <w:szCs w:val="26"/>
          <w:lang w:val="uk-UA"/>
        </w:rPr>
        <w:t>Пояснювальна записка</w:t>
      </w:r>
    </w:p>
    <w:p w:rsidR="00855E9C" w:rsidRDefault="00855E9C" w:rsidP="00855E9C">
      <w:pPr>
        <w:shd w:val="clear" w:color="auto" w:fill="FFFFFF"/>
        <w:tabs>
          <w:tab w:val="left" w:pos="0"/>
        </w:tabs>
        <w:jc w:val="center"/>
        <w:rPr>
          <w:b/>
          <w:color w:val="000000"/>
          <w:kern w:val="28"/>
          <w:sz w:val="26"/>
          <w:szCs w:val="26"/>
          <w:lang w:val="uk-UA"/>
        </w:rPr>
      </w:pPr>
    </w:p>
    <w:p w:rsidR="00855E9C" w:rsidRDefault="00855E9C" w:rsidP="00855E9C">
      <w:pPr>
        <w:widowControl/>
        <w:ind w:firstLine="720"/>
        <w:jc w:val="both"/>
        <w:rPr>
          <w:sz w:val="26"/>
          <w:szCs w:val="26"/>
          <w:lang w:val="uk-UA"/>
        </w:rPr>
      </w:pPr>
      <w:r>
        <w:rPr>
          <w:color w:val="000000"/>
          <w:sz w:val="26"/>
          <w:szCs w:val="26"/>
          <w:lang w:val="uk-UA"/>
        </w:rPr>
        <w:t>Внесення змін до районного бюджету на 2020 рік проводилося відповідно до Закону України «Про місцеві державні адміністрації», Бюджетного кодексу України, пункту 17 частини першої статті 43 Закону України «Про місцеве самоврядування в Україні»</w:t>
      </w:r>
      <w:r>
        <w:rPr>
          <w:sz w:val="26"/>
          <w:szCs w:val="26"/>
          <w:lang w:val="uk-UA"/>
        </w:rPr>
        <w:t xml:space="preserve">, </w:t>
      </w:r>
      <w:r>
        <w:rPr>
          <w:color w:val="000000"/>
          <w:sz w:val="26"/>
          <w:szCs w:val="26"/>
          <w:lang w:val="uk-UA"/>
        </w:rPr>
        <w:t>рішення третьої сесії Сумської обласної ради восьмого скликання від 18.12.2020 «Про внесення змін до рішення Сумської обласної ради від 24.01.2020 «Про обласний бюджет Сумської області на 2020 рік».</w:t>
      </w:r>
    </w:p>
    <w:p w:rsidR="00855E9C" w:rsidRDefault="00855E9C" w:rsidP="00855E9C">
      <w:pPr>
        <w:shd w:val="clear" w:color="auto" w:fill="FFFFFF"/>
        <w:jc w:val="center"/>
        <w:rPr>
          <w:b/>
          <w:color w:val="000000"/>
          <w:sz w:val="26"/>
          <w:szCs w:val="26"/>
          <w:lang w:val="uk-UA"/>
        </w:rPr>
      </w:pPr>
    </w:p>
    <w:p w:rsidR="00855E9C" w:rsidRDefault="00855E9C" w:rsidP="00855E9C">
      <w:pPr>
        <w:shd w:val="clear" w:color="auto" w:fill="FFFFFF"/>
        <w:jc w:val="center"/>
        <w:rPr>
          <w:b/>
          <w:color w:val="000000"/>
          <w:sz w:val="26"/>
          <w:szCs w:val="26"/>
          <w:lang w:val="uk-UA"/>
        </w:rPr>
      </w:pPr>
      <w:r>
        <w:rPr>
          <w:b/>
          <w:color w:val="000000"/>
          <w:sz w:val="26"/>
          <w:szCs w:val="26"/>
          <w:lang w:val="uk-UA"/>
        </w:rPr>
        <w:t>ДОХОДИ</w:t>
      </w:r>
    </w:p>
    <w:p w:rsidR="00855E9C" w:rsidRDefault="00855E9C" w:rsidP="00855E9C">
      <w:pPr>
        <w:shd w:val="clear" w:color="auto" w:fill="FFFFFF"/>
        <w:jc w:val="center"/>
        <w:rPr>
          <w:color w:val="000000"/>
          <w:sz w:val="26"/>
          <w:szCs w:val="26"/>
          <w:lang w:val="uk-UA"/>
        </w:rPr>
      </w:pPr>
    </w:p>
    <w:p w:rsidR="00855E9C" w:rsidRDefault="00855E9C" w:rsidP="00855E9C">
      <w:pPr>
        <w:shd w:val="clear" w:color="auto" w:fill="FFFFFF"/>
        <w:jc w:val="center"/>
        <w:rPr>
          <w:color w:val="000000"/>
          <w:sz w:val="26"/>
          <w:szCs w:val="26"/>
          <w:lang w:val="uk-UA"/>
        </w:rPr>
      </w:pPr>
      <w:r>
        <w:rPr>
          <w:color w:val="000000"/>
          <w:sz w:val="26"/>
          <w:szCs w:val="26"/>
          <w:lang w:val="uk-UA"/>
        </w:rPr>
        <w:t>ЗАГАЛЬНИЙ ФОНД</w:t>
      </w:r>
    </w:p>
    <w:p w:rsidR="00855E9C" w:rsidRDefault="00855E9C" w:rsidP="00855E9C">
      <w:pPr>
        <w:shd w:val="clear" w:color="auto" w:fill="FFFFFF"/>
        <w:jc w:val="center"/>
        <w:rPr>
          <w:color w:val="000000"/>
          <w:sz w:val="26"/>
          <w:szCs w:val="26"/>
          <w:lang w:val="uk-UA"/>
        </w:rPr>
      </w:pPr>
    </w:p>
    <w:p w:rsidR="00855E9C" w:rsidRDefault="00855E9C" w:rsidP="00855E9C">
      <w:pPr>
        <w:pStyle w:val="3"/>
        <w:spacing w:before="0"/>
        <w:ind w:right="0"/>
        <w:jc w:val="both"/>
        <w:rPr>
          <w:color w:val="000000"/>
          <w:sz w:val="26"/>
          <w:szCs w:val="26"/>
          <w:lang w:val="uk-UA"/>
        </w:rPr>
      </w:pPr>
      <w:r>
        <w:rPr>
          <w:color w:val="000000"/>
          <w:sz w:val="26"/>
          <w:szCs w:val="26"/>
          <w:lang w:val="uk-UA"/>
        </w:rPr>
        <w:t xml:space="preserve">Доходну частину загального фонду районного бюджету в цілому збільшено на </w:t>
      </w:r>
      <w:r>
        <w:rPr>
          <w:b/>
          <w:color w:val="000000"/>
          <w:sz w:val="26"/>
          <w:szCs w:val="26"/>
          <w:lang w:val="uk-UA"/>
        </w:rPr>
        <w:t>11 204 гривні</w:t>
      </w:r>
      <w:r>
        <w:rPr>
          <w:color w:val="000000"/>
          <w:sz w:val="26"/>
          <w:szCs w:val="26"/>
          <w:lang w:val="uk-UA"/>
        </w:rPr>
        <w:t>, за рахунок іншої субвенції з Сумського обласного бюджету.</w:t>
      </w:r>
    </w:p>
    <w:p w:rsidR="00855E9C" w:rsidRDefault="00855E9C" w:rsidP="00855E9C">
      <w:pPr>
        <w:shd w:val="clear" w:color="auto" w:fill="FFFFFF"/>
        <w:ind w:firstLine="709"/>
        <w:jc w:val="both"/>
        <w:rPr>
          <w:sz w:val="26"/>
          <w:szCs w:val="26"/>
          <w:lang w:val="uk-UA"/>
        </w:rPr>
      </w:pPr>
      <w:r>
        <w:rPr>
          <w:sz w:val="26"/>
          <w:szCs w:val="26"/>
          <w:lang w:val="uk-UA"/>
        </w:rPr>
        <w:t>З метою забезпечення виконання власних доходів здійснено перерозподіл між кодами доходів:</w:t>
      </w:r>
    </w:p>
    <w:p w:rsidR="00855E9C" w:rsidRDefault="00855E9C" w:rsidP="00855E9C">
      <w:pPr>
        <w:shd w:val="clear" w:color="auto" w:fill="FFFFFF"/>
        <w:ind w:firstLine="709"/>
        <w:jc w:val="both"/>
        <w:rPr>
          <w:sz w:val="26"/>
          <w:szCs w:val="26"/>
          <w:lang w:val="uk-UA"/>
        </w:rPr>
      </w:pPr>
      <w:r>
        <w:rPr>
          <w:sz w:val="26"/>
          <w:szCs w:val="26"/>
          <w:lang w:val="uk-UA"/>
        </w:rPr>
        <w:t>збільшено:</w:t>
      </w:r>
    </w:p>
    <w:p w:rsidR="00855E9C" w:rsidRDefault="00855E9C" w:rsidP="00855E9C">
      <w:pPr>
        <w:shd w:val="clear" w:color="auto" w:fill="FFFFFF"/>
        <w:ind w:firstLine="709"/>
        <w:jc w:val="both"/>
        <w:rPr>
          <w:b/>
          <w:bCs/>
          <w:sz w:val="26"/>
          <w:szCs w:val="26"/>
          <w:lang w:val="uk-UA"/>
        </w:rPr>
      </w:pPr>
      <w:r>
        <w:rPr>
          <w:sz w:val="26"/>
          <w:szCs w:val="26"/>
          <w:lang w:val="uk-UA"/>
        </w:rPr>
        <w:t xml:space="preserve">податок на доходи фізичних осіб з грошового забезпечення, грошових винагород та інших виплат, одержаних військовослужбовцями та особами рядового та начальницького складу, що сплачується податковими агентами -   </w:t>
      </w:r>
      <w:r>
        <w:rPr>
          <w:b/>
          <w:bCs/>
          <w:sz w:val="26"/>
          <w:szCs w:val="26"/>
          <w:lang w:val="uk-UA"/>
        </w:rPr>
        <w:t>82  315 гривень</w:t>
      </w:r>
      <w:r>
        <w:rPr>
          <w:bCs/>
          <w:sz w:val="26"/>
          <w:szCs w:val="26"/>
          <w:lang w:val="uk-UA"/>
        </w:rPr>
        <w:t>;</w:t>
      </w:r>
    </w:p>
    <w:p w:rsidR="00855E9C" w:rsidRDefault="00855E9C" w:rsidP="00855E9C">
      <w:pPr>
        <w:shd w:val="clear" w:color="auto" w:fill="FFFFFF"/>
        <w:ind w:firstLine="709"/>
        <w:jc w:val="both"/>
        <w:rPr>
          <w:sz w:val="26"/>
          <w:szCs w:val="26"/>
          <w:lang w:val="uk-UA"/>
        </w:rPr>
      </w:pPr>
      <w:r>
        <w:rPr>
          <w:sz w:val="26"/>
          <w:szCs w:val="26"/>
          <w:lang w:val="uk-UA"/>
        </w:rPr>
        <w:t xml:space="preserve">податок на доходи фізичних осіб, що сплачується податковим агентом, із доходів платника податку інших ніж заробітна плата – </w:t>
      </w:r>
      <w:r>
        <w:rPr>
          <w:b/>
          <w:bCs/>
          <w:sz w:val="26"/>
          <w:szCs w:val="26"/>
        </w:rPr>
        <w:t>553</w:t>
      </w:r>
      <w:r>
        <w:rPr>
          <w:b/>
          <w:sz w:val="26"/>
          <w:szCs w:val="26"/>
          <w:lang w:val="uk-UA"/>
        </w:rPr>
        <w:t> </w:t>
      </w:r>
      <w:r>
        <w:rPr>
          <w:b/>
          <w:sz w:val="26"/>
          <w:szCs w:val="26"/>
        </w:rPr>
        <w:t>951</w:t>
      </w:r>
      <w:r>
        <w:rPr>
          <w:b/>
          <w:sz w:val="26"/>
          <w:szCs w:val="26"/>
          <w:lang w:val="uk-UA"/>
        </w:rPr>
        <w:t> гривня</w:t>
      </w:r>
      <w:r>
        <w:rPr>
          <w:sz w:val="26"/>
          <w:szCs w:val="26"/>
          <w:lang w:val="uk-UA"/>
        </w:rPr>
        <w:t>;</w:t>
      </w:r>
    </w:p>
    <w:p w:rsidR="00855E9C" w:rsidRDefault="00855E9C" w:rsidP="00855E9C">
      <w:pPr>
        <w:shd w:val="clear" w:color="auto" w:fill="FFFFFF"/>
        <w:ind w:firstLine="709"/>
        <w:jc w:val="both"/>
        <w:rPr>
          <w:sz w:val="26"/>
          <w:szCs w:val="26"/>
          <w:lang w:val="uk-UA"/>
        </w:rPr>
      </w:pPr>
      <w:r>
        <w:rPr>
          <w:sz w:val="26"/>
          <w:szCs w:val="26"/>
          <w:lang w:val="uk-UA"/>
        </w:rPr>
        <w:t xml:space="preserve">податок на доходи фізичних осіб, що сплачується фізичними особами за результатами річного декларування </w:t>
      </w:r>
      <w:r>
        <w:rPr>
          <w:b/>
          <w:bCs/>
          <w:sz w:val="26"/>
          <w:szCs w:val="26"/>
          <w:lang w:val="uk-UA"/>
        </w:rPr>
        <w:t>-–</w:t>
      </w:r>
      <w:r>
        <w:rPr>
          <w:bCs/>
          <w:sz w:val="26"/>
          <w:szCs w:val="26"/>
          <w:lang w:val="uk-UA"/>
        </w:rPr>
        <w:t xml:space="preserve"> </w:t>
      </w:r>
      <w:r>
        <w:rPr>
          <w:b/>
          <w:bCs/>
          <w:sz w:val="26"/>
          <w:szCs w:val="26"/>
          <w:lang w:val="uk-UA"/>
        </w:rPr>
        <w:t>9</w:t>
      </w:r>
      <w:r>
        <w:rPr>
          <w:b/>
          <w:sz w:val="26"/>
          <w:szCs w:val="26"/>
          <w:lang w:val="uk-UA"/>
        </w:rPr>
        <w:t> 799  гривні</w:t>
      </w:r>
      <w:r>
        <w:rPr>
          <w:sz w:val="26"/>
          <w:szCs w:val="26"/>
          <w:lang w:val="uk-UA"/>
        </w:rPr>
        <w:t xml:space="preserve">; </w:t>
      </w:r>
    </w:p>
    <w:p w:rsidR="00855E9C" w:rsidRDefault="00855E9C" w:rsidP="00855E9C">
      <w:pPr>
        <w:shd w:val="clear" w:color="auto" w:fill="FFFFFF"/>
        <w:ind w:firstLine="709"/>
        <w:jc w:val="both"/>
        <w:rPr>
          <w:sz w:val="26"/>
          <w:szCs w:val="26"/>
          <w:lang w:val="uk-UA"/>
        </w:rPr>
      </w:pPr>
      <w:r>
        <w:rPr>
          <w:sz w:val="26"/>
          <w:szCs w:val="26"/>
          <w:lang w:val="uk-UA"/>
        </w:rPr>
        <w:t xml:space="preserve">надходження від орендної плати за користування цілісним майновим комплексом та іншим майном, що перебуває у комунальній власності – </w:t>
      </w:r>
      <w:r>
        <w:rPr>
          <w:b/>
          <w:bCs/>
          <w:sz w:val="26"/>
          <w:szCs w:val="26"/>
          <w:lang w:val="uk-UA"/>
        </w:rPr>
        <w:t>1</w:t>
      </w:r>
      <w:r>
        <w:rPr>
          <w:b/>
          <w:sz w:val="26"/>
          <w:szCs w:val="26"/>
          <w:lang w:val="uk-UA"/>
        </w:rPr>
        <w:t> 419 гривень</w:t>
      </w:r>
      <w:r>
        <w:rPr>
          <w:sz w:val="26"/>
          <w:szCs w:val="26"/>
          <w:lang w:val="uk-UA"/>
        </w:rPr>
        <w:t>;</w:t>
      </w:r>
    </w:p>
    <w:p w:rsidR="00855E9C" w:rsidRDefault="00855E9C" w:rsidP="00855E9C">
      <w:pPr>
        <w:shd w:val="clear" w:color="auto" w:fill="FFFFFF"/>
        <w:ind w:firstLine="709"/>
        <w:jc w:val="both"/>
        <w:rPr>
          <w:sz w:val="26"/>
          <w:szCs w:val="26"/>
          <w:lang w:val="uk-UA"/>
        </w:rPr>
      </w:pPr>
      <w:r>
        <w:rPr>
          <w:sz w:val="26"/>
          <w:szCs w:val="26"/>
          <w:lang w:val="uk-UA"/>
        </w:rPr>
        <w:t xml:space="preserve">інші надходження </w:t>
      </w:r>
      <w:r>
        <w:rPr>
          <w:b/>
          <w:bCs/>
          <w:sz w:val="26"/>
          <w:szCs w:val="26"/>
          <w:lang w:val="uk-UA"/>
        </w:rPr>
        <w:t xml:space="preserve">– 273 </w:t>
      </w:r>
      <w:r>
        <w:rPr>
          <w:b/>
          <w:sz w:val="26"/>
          <w:szCs w:val="26"/>
          <w:lang w:val="uk-UA"/>
        </w:rPr>
        <w:t> гривні</w:t>
      </w:r>
      <w:r>
        <w:rPr>
          <w:sz w:val="26"/>
          <w:szCs w:val="26"/>
          <w:lang w:val="uk-UA"/>
        </w:rPr>
        <w:t>;</w:t>
      </w:r>
    </w:p>
    <w:p w:rsidR="00855E9C" w:rsidRDefault="00855E9C" w:rsidP="00855E9C">
      <w:pPr>
        <w:shd w:val="clear" w:color="auto" w:fill="FFFFFF"/>
        <w:ind w:firstLine="709"/>
        <w:jc w:val="both"/>
        <w:rPr>
          <w:sz w:val="26"/>
          <w:szCs w:val="26"/>
          <w:lang w:val="uk-UA"/>
        </w:rPr>
      </w:pPr>
      <w:r>
        <w:rPr>
          <w:sz w:val="26"/>
          <w:szCs w:val="26"/>
          <w:lang w:val="uk-UA"/>
        </w:rPr>
        <w:t>зменшено:</w:t>
      </w:r>
    </w:p>
    <w:p w:rsidR="00855E9C" w:rsidRDefault="00855E9C" w:rsidP="00855E9C">
      <w:pPr>
        <w:shd w:val="clear" w:color="auto" w:fill="FFFFFF"/>
        <w:ind w:firstLine="709"/>
        <w:jc w:val="both"/>
        <w:rPr>
          <w:sz w:val="26"/>
          <w:szCs w:val="26"/>
          <w:lang w:val="uk-UA"/>
        </w:rPr>
      </w:pPr>
      <w:r>
        <w:rPr>
          <w:sz w:val="26"/>
          <w:szCs w:val="26"/>
          <w:lang w:val="uk-UA"/>
        </w:rPr>
        <w:t xml:space="preserve">податок на доходи фізичних осіб, що сплачується податковим агентом, із доходів платника податку у вигляді заробітної плати – </w:t>
      </w:r>
      <w:r>
        <w:rPr>
          <w:b/>
          <w:bCs/>
          <w:sz w:val="26"/>
          <w:szCs w:val="26"/>
          <w:lang w:val="uk-UA"/>
        </w:rPr>
        <w:t>647</w:t>
      </w:r>
      <w:r>
        <w:rPr>
          <w:b/>
          <w:sz w:val="26"/>
          <w:szCs w:val="26"/>
          <w:lang w:val="uk-UA"/>
        </w:rPr>
        <w:t> 757 гривень</w:t>
      </w:r>
      <w:r>
        <w:rPr>
          <w:sz w:val="26"/>
          <w:szCs w:val="26"/>
          <w:lang w:val="uk-UA"/>
        </w:rPr>
        <w:t>.</w:t>
      </w:r>
    </w:p>
    <w:p w:rsidR="00855E9C" w:rsidRDefault="00855E9C" w:rsidP="00855E9C">
      <w:pPr>
        <w:pStyle w:val="3"/>
        <w:spacing w:before="0"/>
        <w:ind w:right="0"/>
        <w:jc w:val="both"/>
        <w:rPr>
          <w:color w:val="000000"/>
          <w:sz w:val="26"/>
          <w:szCs w:val="26"/>
          <w:lang w:val="uk-UA"/>
        </w:rPr>
      </w:pPr>
    </w:p>
    <w:p w:rsidR="00855E9C" w:rsidRDefault="00855E9C" w:rsidP="00855E9C">
      <w:pPr>
        <w:shd w:val="clear" w:color="auto" w:fill="FFFFFF"/>
        <w:jc w:val="center"/>
        <w:rPr>
          <w:b/>
          <w:color w:val="000000"/>
          <w:sz w:val="26"/>
          <w:szCs w:val="26"/>
          <w:lang w:val="uk-UA"/>
        </w:rPr>
      </w:pPr>
      <w:r>
        <w:rPr>
          <w:b/>
          <w:color w:val="000000"/>
          <w:sz w:val="26"/>
          <w:szCs w:val="26"/>
          <w:lang w:val="uk-UA"/>
        </w:rPr>
        <w:t xml:space="preserve">ВИДАТКИ </w:t>
      </w:r>
    </w:p>
    <w:p w:rsidR="00855E9C" w:rsidRDefault="00855E9C" w:rsidP="00855E9C">
      <w:pPr>
        <w:shd w:val="clear" w:color="auto" w:fill="FFFFFF"/>
        <w:jc w:val="center"/>
        <w:rPr>
          <w:b/>
          <w:color w:val="000000"/>
          <w:sz w:val="26"/>
          <w:szCs w:val="26"/>
          <w:lang w:val="uk-UA"/>
        </w:rPr>
      </w:pPr>
    </w:p>
    <w:p w:rsidR="00855E9C" w:rsidRDefault="00855E9C" w:rsidP="00855E9C">
      <w:pPr>
        <w:shd w:val="clear" w:color="auto" w:fill="FFFFFF"/>
        <w:jc w:val="center"/>
        <w:rPr>
          <w:color w:val="000000"/>
          <w:sz w:val="26"/>
          <w:szCs w:val="26"/>
          <w:lang w:val="uk-UA"/>
        </w:rPr>
      </w:pPr>
      <w:r>
        <w:rPr>
          <w:color w:val="000000"/>
          <w:sz w:val="26"/>
          <w:szCs w:val="26"/>
          <w:lang w:val="uk-UA"/>
        </w:rPr>
        <w:t>ЗАГАЛЬНИЙ ФОНД</w:t>
      </w:r>
    </w:p>
    <w:p w:rsidR="00855E9C" w:rsidRDefault="00855E9C" w:rsidP="00855E9C">
      <w:pPr>
        <w:shd w:val="clear" w:color="auto" w:fill="FFFFFF"/>
        <w:jc w:val="center"/>
        <w:rPr>
          <w:color w:val="000000"/>
          <w:sz w:val="26"/>
          <w:szCs w:val="26"/>
          <w:lang w:val="uk-UA"/>
        </w:rPr>
      </w:pPr>
    </w:p>
    <w:p w:rsidR="00855E9C" w:rsidRDefault="00855E9C" w:rsidP="00855E9C">
      <w:pPr>
        <w:shd w:val="clear" w:color="auto" w:fill="FFFFFF"/>
        <w:ind w:firstLine="720"/>
        <w:jc w:val="both"/>
        <w:rPr>
          <w:b/>
          <w:sz w:val="26"/>
          <w:szCs w:val="26"/>
          <w:lang w:val="uk-UA"/>
        </w:rPr>
      </w:pPr>
      <w:r>
        <w:rPr>
          <w:color w:val="000000"/>
          <w:sz w:val="26"/>
          <w:szCs w:val="26"/>
          <w:lang w:val="uk-UA"/>
        </w:rPr>
        <w:t xml:space="preserve">Видаткову частину районного бюджету в цілому збільшено на </w:t>
      </w:r>
      <w:r>
        <w:rPr>
          <w:b/>
          <w:sz w:val="26"/>
          <w:szCs w:val="26"/>
          <w:lang w:val="uk-UA"/>
        </w:rPr>
        <w:t>11 204 гривні</w:t>
      </w:r>
      <w:r>
        <w:rPr>
          <w:sz w:val="26"/>
          <w:szCs w:val="26"/>
          <w:lang w:val="uk-UA"/>
        </w:rPr>
        <w:t xml:space="preserve"> за рахунок іншої субвенції з </w:t>
      </w:r>
      <w:r>
        <w:rPr>
          <w:color w:val="000000"/>
          <w:sz w:val="26"/>
          <w:szCs w:val="26"/>
          <w:lang w:val="uk-UA"/>
        </w:rPr>
        <w:t xml:space="preserve">Сумського обласного бюджету </w:t>
      </w:r>
      <w:r>
        <w:rPr>
          <w:sz w:val="26"/>
          <w:szCs w:val="26"/>
          <w:lang w:val="uk-UA"/>
        </w:rPr>
        <w:t>управлінню соціального захисту населення Ямпільської районної державної адміністрації Сумської області на поховання учасників бойових дій та інвалідів війни</w:t>
      </w:r>
      <w:r>
        <w:rPr>
          <w:color w:val="000000"/>
          <w:sz w:val="26"/>
          <w:szCs w:val="26"/>
          <w:lang w:val="uk-UA"/>
        </w:rPr>
        <w:t>.</w:t>
      </w:r>
    </w:p>
    <w:p w:rsidR="00855E9C" w:rsidRDefault="00855E9C" w:rsidP="00855E9C">
      <w:pPr>
        <w:shd w:val="clear" w:color="auto" w:fill="FFFFFF"/>
        <w:ind w:firstLine="720"/>
        <w:jc w:val="both"/>
        <w:rPr>
          <w:sz w:val="26"/>
          <w:szCs w:val="26"/>
          <w:lang w:val="uk-UA"/>
        </w:rPr>
      </w:pPr>
    </w:p>
    <w:p w:rsidR="00855E9C" w:rsidRDefault="00855E9C" w:rsidP="00855E9C">
      <w:pPr>
        <w:shd w:val="clear" w:color="auto" w:fill="FFFFFF"/>
        <w:ind w:firstLine="720"/>
        <w:jc w:val="both"/>
        <w:rPr>
          <w:sz w:val="26"/>
          <w:szCs w:val="26"/>
          <w:lang w:val="uk-UA"/>
        </w:rPr>
      </w:pPr>
      <w:r>
        <w:rPr>
          <w:noProof/>
        </w:rPr>
        <w:drawing>
          <wp:anchor distT="0" distB="0" distL="114300" distR="114300" simplePos="0" relativeHeight="251658240" behindDoc="0" locked="0" layoutInCell="1" allowOverlap="1">
            <wp:simplePos x="0" y="0"/>
            <wp:positionH relativeFrom="column">
              <wp:posOffset>2856230</wp:posOffset>
            </wp:positionH>
            <wp:positionV relativeFrom="paragraph">
              <wp:posOffset>189865</wp:posOffset>
            </wp:positionV>
            <wp:extent cx="1071880" cy="890270"/>
            <wp:effectExtent l="0" t="0" r="0" b="5080"/>
            <wp:wrapNone/>
            <wp:docPr id="1" name="Рисунок 1" descr="Описание: Слесаре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Слесарева"/>
                    <pic:cNvPicPr>
                      <a:picLocks noChangeAspect="1" noChangeArrowheads="1"/>
                    </pic:cNvPicPr>
                  </pic:nvPicPr>
                  <pic:blipFill>
                    <a:blip r:embed="rId5" cstate="print">
                      <a:lum contrast="40000"/>
                      <a:extLst>
                        <a:ext uri="{28A0092B-C50C-407E-A947-70E740481C1C}">
                          <a14:useLocalDpi xmlns:a14="http://schemas.microsoft.com/office/drawing/2010/main" val="0"/>
                        </a:ext>
                      </a:extLst>
                    </a:blip>
                    <a:srcRect/>
                    <a:stretch>
                      <a:fillRect/>
                    </a:stretch>
                  </pic:blipFill>
                  <pic:spPr bwMode="auto">
                    <a:xfrm>
                      <a:off x="0" y="0"/>
                      <a:ext cx="1071880" cy="890270"/>
                    </a:xfrm>
                    <a:prstGeom prst="rect">
                      <a:avLst/>
                    </a:prstGeom>
                    <a:noFill/>
                  </pic:spPr>
                </pic:pic>
              </a:graphicData>
            </a:graphic>
            <wp14:sizeRelH relativeFrom="page">
              <wp14:pctWidth>0</wp14:pctWidth>
            </wp14:sizeRelH>
            <wp14:sizeRelV relativeFrom="page">
              <wp14:pctHeight>0</wp14:pctHeight>
            </wp14:sizeRelV>
          </wp:anchor>
        </w:drawing>
      </w:r>
    </w:p>
    <w:p w:rsidR="00855E9C" w:rsidRDefault="00855E9C" w:rsidP="00855E9C">
      <w:pPr>
        <w:shd w:val="clear" w:color="auto" w:fill="FFFFFF"/>
        <w:ind w:right="96"/>
        <w:jc w:val="both"/>
        <w:rPr>
          <w:b/>
          <w:color w:val="000000"/>
          <w:sz w:val="26"/>
          <w:szCs w:val="26"/>
          <w:lang w:val="uk-UA"/>
        </w:rPr>
      </w:pPr>
      <w:r>
        <w:rPr>
          <w:b/>
          <w:color w:val="000000"/>
          <w:sz w:val="26"/>
          <w:szCs w:val="26"/>
          <w:lang w:val="uk-UA"/>
        </w:rPr>
        <w:t>Начальник фінансового відділу</w:t>
      </w:r>
    </w:p>
    <w:p w:rsidR="00855E9C" w:rsidRDefault="00855E9C" w:rsidP="00855E9C">
      <w:pPr>
        <w:shd w:val="clear" w:color="auto" w:fill="FFFFFF"/>
        <w:ind w:right="96"/>
        <w:jc w:val="both"/>
        <w:rPr>
          <w:b/>
          <w:color w:val="000000"/>
          <w:sz w:val="26"/>
          <w:szCs w:val="26"/>
          <w:lang w:val="uk-UA"/>
        </w:rPr>
      </w:pPr>
      <w:r>
        <w:rPr>
          <w:b/>
          <w:color w:val="000000"/>
          <w:sz w:val="26"/>
          <w:szCs w:val="26"/>
          <w:lang w:val="uk-UA"/>
        </w:rPr>
        <w:t xml:space="preserve">Ямпільської районної державної </w:t>
      </w:r>
    </w:p>
    <w:p w:rsidR="00855E9C" w:rsidRDefault="00855E9C" w:rsidP="00855E9C">
      <w:pPr>
        <w:shd w:val="clear" w:color="auto" w:fill="FFFFFF"/>
        <w:ind w:right="96"/>
        <w:jc w:val="both"/>
        <w:rPr>
          <w:b/>
          <w:sz w:val="26"/>
          <w:szCs w:val="26"/>
          <w:lang w:val="uk-UA"/>
        </w:rPr>
      </w:pPr>
      <w:r>
        <w:rPr>
          <w:b/>
          <w:color w:val="000000"/>
          <w:sz w:val="26"/>
          <w:szCs w:val="26"/>
          <w:lang w:val="uk-UA"/>
        </w:rPr>
        <w:t>адміністрації Сумської області</w:t>
      </w:r>
      <w:r>
        <w:rPr>
          <w:b/>
          <w:color w:val="000000"/>
          <w:sz w:val="26"/>
          <w:szCs w:val="26"/>
          <w:lang w:val="uk-UA"/>
        </w:rPr>
        <w:tab/>
      </w:r>
      <w:r>
        <w:rPr>
          <w:b/>
          <w:color w:val="000000"/>
          <w:sz w:val="26"/>
          <w:szCs w:val="26"/>
          <w:lang w:val="uk-UA"/>
        </w:rPr>
        <w:tab/>
        <w:t xml:space="preserve">            </w:t>
      </w:r>
      <w:r>
        <w:rPr>
          <w:b/>
          <w:color w:val="000000"/>
          <w:sz w:val="26"/>
          <w:szCs w:val="26"/>
          <w:lang w:val="uk-UA"/>
        </w:rPr>
        <w:tab/>
        <w:t xml:space="preserve">Наталія </w:t>
      </w:r>
      <w:r>
        <w:rPr>
          <w:b/>
          <w:sz w:val="26"/>
          <w:szCs w:val="26"/>
          <w:lang w:val="uk-UA"/>
        </w:rPr>
        <w:t>СЛЕCАРЄВА</w:t>
      </w:r>
    </w:p>
    <w:p w:rsidR="00CD7129" w:rsidRDefault="00CD7129">
      <w:bookmarkStart w:id="0" w:name="_GoBack"/>
      <w:bookmarkEnd w:id="0"/>
    </w:p>
    <w:sectPr w:rsidR="00CD7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9C"/>
    <w:rsid w:val="00855E9C"/>
    <w:rsid w:val="00CD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855E9C"/>
    <w:pPr>
      <w:shd w:val="clear" w:color="auto" w:fill="FFFFFF"/>
      <w:spacing w:before="360"/>
      <w:ind w:right="94" w:firstLine="709"/>
    </w:pPr>
    <w:rPr>
      <w:sz w:val="16"/>
    </w:rPr>
  </w:style>
  <w:style w:type="character" w:customStyle="1" w:styleId="30">
    <w:name w:val="Основной текст с отступом 3 Знак"/>
    <w:basedOn w:val="a0"/>
    <w:link w:val="3"/>
    <w:uiPriority w:val="99"/>
    <w:semiHidden/>
    <w:rsid w:val="00855E9C"/>
    <w:rPr>
      <w:rFonts w:ascii="Times New Roman" w:eastAsia="Times New Roman" w:hAnsi="Times New Roman" w:cs="Times New Roman"/>
      <w:sz w:val="16"/>
      <w:szCs w:val="20"/>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E9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855E9C"/>
    <w:pPr>
      <w:shd w:val="clear" w:color="auto" w:fill="FFFFFF"/>
      <w:spacing w:before="360"/>
      <w:ind w:right="94" w:firstLine="709"/>
    </w:pPr>
    <w:rPr>
      <w:sz w:val="16"/>
    </w:rPr>
  </w:style>
  <w:style w:type="character" w:customStyle="1" w:styleId="30">
    <w:name w:val="Основной текст с отступом 3 Знак"/>
    <w:basedOn w:val="a0"/>
    <w:link w:val="3"/>
    <w:uiPriority w:val="99"/>
    <w:semiHidden/>
    <w:rsid w:val="00855E9C"/>
    <w:rPr>
      <w:rFonts w:ascii="Times New Roman" w:eastAsia="Times New Roman" w:hAnsi="Times New Roman" w:cs="Times New Roman"/>
      <w:sz w:val="16"/>
      <w:szCs w:val="20"/>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Company>SPecialiST RePack</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2020-12-23T08:04:00Z</dcterms:created>
  <dcterms:modified xsi:type="dcterms:W3CDTF">2020-12-23T08:05:00Z</dcterms:modified>
</cp:coreProperties>
</file>