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483" w:rsidRDefault="00F74483" w:rsidP="00F74483">
      <w:pPr>
        <w:widowControl w:val="0"/>
        <w:autoSpaceDE w:val="0"/>
        <w:jc w:val="center"/>
        <w:rPr>
          <w:lang w:val="uk-UA"/>
        </w:rPr>
      </w:pPr>
      <w:r>
        <w:rPr>
          <w:noProof/>
          <w:lang w:eastAsia="ru-RU"/>
        </w:rPr>
        <w:drawing>
          <wp:anchor distT="0" distB="0" distL="114935" distR="114935" simplePos="0" relativeHeight="251659264" behindDoc="1" locked="0" layoutInCell="1" allowOverlap="1">
            <wp:simplePos x="0" y="0"/>
            <wp:positionH relativeFrom="column">
              <wp:posOffset>2813050</wp:posOffset>
            </wp:positionH>
            <wp:positionV relativeFrom="paragraph">
              <wp:posOffset>12065</wp:posOffset>
            </wp:positionV>
            <wp:extent cx="383540" cy="567055"/>
            <wp:effectExtent l="0" t="0" r="0" b="4445"/>
            <wp:wrapTight wrapText="bothSides">
              <wp:wrapPolygon edited="0">
                <wp:start x="0" y="0"/>
                <wp:lineTo x="0" y="21044"/>
                <wp:lineTo x="20384" y="21044"/>
                <wp:lineTo x="2038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540" cy="567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74483" w:rsidRDefault="00F74483" w:rsidP="00F74483">
      <w:pPr>
        <w:rPr>
          <w:lang w:val="uk-UA"/>
        </w:rPr>
      </w:pPr>
    </w:p>
    <w:p w:rsidR="00F74483" w:rsidRDefault="00F74483" w:rsidP="00F74483">
      <w:pPr>
        <w:pStyle w:val="LO-Normal"/>
        <w:jc w:val="center"/>
        <w:rPr>
          <w:b/>
          <w:spacing w:val="20"/>
          <w:sz w:val="32"/>
          <w:lang w:val="uk-UA"/>
        </w:rPr>
      </w:pPr>
    </w:p>
    <w:p w:rsidR="00F74483" w:rsidRDefault="00F74483" w:rsidP="00F74483">
      <w:pPr>
        <w:pStyle w:val="LO-Normal"/>
        <w:jc w:val="center"/>
        <w:rPr>
          <w:b/>
          <w:spacing w:val="20"/>
          <w:sz w:val="32"/>
          <w:lang w:val="uk-UA"/>
        </w:rPr>
      </w:pPr>
    </w:p>
    <w:p w:rsidR="00F74483" w:rsidRDefault="00F74483" w:rsidP="00F74483">
      <w:pPr>
        <w:pStyle w:val="LO-Normal"/>
        <w:jc w:val="center"/>
        <w:rPr>
          <w:b/>
          <w:spacing w:val="20"/>
          <w:sz w:val="28"/>
          <w:lang w:val="uk-UA"/>
        </w:rPr>
      </w:pPr>
      <w:r>
        <w:rPr>
          <w:b/>
          <w:spacing w:val="20"/>
          <w:sz w:val="32"/>
          <w:lang w:val="uk-UA"/>
        </w:rPr>
        <w:t>ШОСТКИНСЬКА РАЙОННА РАДА</w:t>
      </w:r>
    </w:p>
    <w:p w:rsidR="00F74483" w:rsidRDefault="00F74483" w:rsidP="00F74483">
      <w:pPr>
        <w:pStyle w:val="LO-Normal"/>
        <w:jc w:val="center"/>
        <w:rPr>
          <w:b/>
          <w:spacing w:val="20"/>
          <w:sz w:val="28"/>
          <w:lang w:val="uk-UA"/>
        </w:rPr>
      </w:pPr>
    </w:p>
    <w:p w:rsidR="00F74483" w:rsidRDefault="00F74483" w:rsidP="00F74483">
      <w:pPr>
        <w:pStyle w:val="LO-Normal"/>
        <w:jc w:val="center"/>
        <w:rPr>
          <w:spacing w:val="-20"/>
          <w:sz w:val="28"/>
          <w:lang w:val="uk-UA"/>
        </w:rPr>
      </w:pPr>
      <w:r>
        <w:rPr>
          <w:b/>
          <w:spacing w:val="20"/>
          <w:sz w:val="28"/>
          <w:lang w:val="uk-UA"/>
        </w:rPr>
        <w:t>СЬОМЕ СКЛИКАННЯ</w:t>
      </w:r>
    </w:p>
    <w:p w:rsidR="00F74483" w:rsidRDefault="00F74483" w:rsidP="00F74483">
      <w:pPr>
        <w:pStyle w:val="LO-Normal"/>
        <w:jc w:val="center"/>
        <w:rPr>
          <w:sz w:val="28"/>
          <w:szCs w:val="28"/>
        </w:rPr>
      </w:pPr>
      <w:r>
        <w:rPr>
          <w:spacing w:val="-20"/>
          <w:sz w:val="28"/>
          <w:lang w:val="uk-UA"/>
        </w:rPr>
        <w:t xml:space="preserve"> </w:t>
      </w:r>
    </w:p>
    <w:p w:rsidR="00F74483" w:rsidRDefault="00F74483" w:rsidP="00F74483">
      <w:pPr>
        <w:pStyle w:val="LO-Normal"/>
        <w:jc w:val="center"/>
        <w:rPr>
          <w:b/>
          <w:spacing w:val="20"/>
          <w:sz w:val="18"/>
          <w:lang w:val="uk-UA"/>
        </w:rPr>
      </w:pPr>
      <w:r>
        <w:rPr>
          <w:sz w:val="28"/>
          <w:szCs w:val="28"/>
        </w:rPr>
        <w:t>ДВАДЦЯТЬ СЬОМА  СЕСІЯ</w:t>
      </w:r>
    </w:p>
    <w:p w:rsidR="00F74483" w:rsidRDefault="00F74483" w:rsidP="00F74483">
      <w:pPr>
        <w:pStyle w:val="LO-Normal"/>
        <w:jc w:val="center"/>
        <w:rPr>
          <w:b/>
          <w:spacing w:val="20"/>
          <w:sz w:val="18"/>
          <w:lang w:val="uk-UA"/>
        </w:rPr>
      </w:pPr>
    </w:p>
    <w:p w:rsidR="00F74483" w:rsidRPr="00F74483" w:rsidRDefault="00F74483" w:rsidP="00F74483">
      <w:pPr>
        <w:pStyle w:val="LO-Normal"/>
        <w:jc w:val="center"/>
        <w:rPr>
          <w:b/>
          <w:spacing w:val="20"/>
          <w:sz w:val="36"/>
          <w:szCs w:val="36"/>
          <w:lang w:val="uk-UA"/>
          <w14:shadow w14:blurRad="50800" w14:dist="38100" w14:dir="2700000" w14:sx="100000" w14:sy="100000" w14:kx="0" w14:ky="0" w14:algn="tl">
            <w14:srgbClr w14:val="000000">
              <w14:alpha w14:val="60000"/>
            </w14:srgbClr>
          </w14:shadow>
        </w:rPr>
      </w:pPr>
      <w:r w:rsidRPr="00F74483">
        <w:rPr>
          <w:spacing w:val="20"/>
          <w:sz w:val="40"/>
          <w:lang w:val="uk-UA"/>
          <w14:shadow w14:blurRad="50800" w14:dist="38100" w14:dir="2700000" w14:sx="100000" w14:sy="100000" w14:kx="0" w14:ky="0" w14:algn="tl">
            <w14:srgbClr w14:val="000000">
              <w14:alpha w14:val="60000"/>
            </w14:srgbClr>
          </w14:shadow>
        </w:rPr>
        <w:t>Р І Ш Е Н Н Я</w:t>
      </w:r>
    </w:p>
    <w:p w:rsidR="00F74483" w:rsidRPr="00F74483" w:rsidRDefault="00F74483" w:rsidP="00F74483">
      <w:pPr>
        <w:pStyle w:val="LO-Normal"/>
        <w:jc w:val="center"/>
        <w:rPr>
          <w:b/>
          <w:spacing w:val="20"/>
          <w:sz w:val="36"/>
          <w:szCs w:val="36"/>
          <w:lang w:val="uk-UA"/>
          <w14:shadow w14:blurRad="50800" w14:dist="38100" w14:dir="2700000" w14:sx="100000" w14:sy="100000" w14:kx="0" w14:ky="0" w14:algn="tl">
            <w14:srgbClr w14:val="000000">
              <w14:alpha w14:val="60000"/>
            </w14:srgbClr>
          </w14:shadow>
        </w:rPr>
      </w:pPr>
    </w:p>
    <w:p w:rsidR="00F74483" w:rsidRDefault="00F74483" w:rsidP="00F74483">
      <w:pPr>
        <w:pStyle w:val="LO-Normal"/>
        <w:jc w:val="center"/>
      </w:pPr>
      <w:r w:rsidRPr="00F74483">
        <w:rPr>
          <w:spacing w:val="20"/>
          <w:sz w:val="24"/>
          <w:szCs w:val="24"/>
          <w:lang w:val="uk-UA"/>
          <w14:shadow w14:blurRad="50800" w14:dist="38100" w14:dir="2700000" w14:sx="100000" w14:sy="100000" w14:kx="0" w14:ky="0" w14:algn="tl">
            <w14:srgbClr w14:val="000000">
              <w14:alpha w14:val="60000"/>
            </w14:srgbClr>
          </w14:shadow>
        </w:rPr>
        <w:t>м. Шостка</w:t>
      </w:r>
    </w:p>
    <w:p w:rsidR="00F74483" w:rsidRPr="00F74483" w:rsidRDefault="00F74483" w:rsidP="00F74483">
      <w:pPr>
        <w:pStyle w:val="LO-Normal"/>
        <w:jc w:val="center"/>
        <w:rPr>
          <w:spacing w:val="20"/>
          <w:sz w:val="24"/>
          <w:szCs w:val="24"/>
          <w:lang w:val="uk-UA"/>
          <w14:shadow w14:blurRad="50800" w14:dist="38100" w14:dir="2700000" w14:sx="100000" w14:sy="100000" w14:kx="0" w14:ky="0" w14:algn="tl">
            <w14:srgbClr w14:val="000000">
              <w14:alpha w14:val="60000"/>
            </w14:srgbClr>
          </w14:shadow>
        </w:rPr>
      </w:pPr>
      <w:r>
        <w:rPr>
          <w:noProof/>
          <w:lang w:eastAsia="ru-RU"/>
        </w:rPr>
        <mc:AlternateContent>
          <mc:Choice Requires="wps">
            <w:drawing>
              <wp:anchor distT="0" distB="0" distL="0" distR="114935" simplePos="0" relativeHeight="251660288" behindDoc="0" locked="0" layoutInCell="1" allowOverlap="1">
                <wp:simplePos x="0" y="0"/>
                <wp:positionH relativeFrom="column">
                  <wp:posOffset>-63500</wp:posOffset>
                </wp:positionH>
                <wp:positionV relativeFrom="paragraph">
                  <wp:posOffset>175895</wp:posOffset>
                </wp:positionV>
                <wp:extent cx="3150870" cy="1238250"/>
                <wp:effectExtent l="8255" t="635" r="3175" b="889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1238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345"/>
                            </w:tblGrid>
                            <w:tr w:rsidR="00F74483">
                              <w:trPr>
                                <w:trHeight w:val="1618"/>
                              </w:trPr>
                              <w:tc>
                                <w:tcPr>
                                  <w:tcW w:w="6345" w:type="dxa"/>
                                  <w:shd w:val="clear" w:color="auto" w:fill="auto"/>
                                </w:tcPr>
                                <w:p w:rsidR="00F74483" w:rsidRDefault="00F74483">
                                  <w:pPr>
                                    <w:snapToGrid w:val="0"/>
                                  </w:pPr>
                                  <w:r>
                                    <w:rPr>
                                      <w:szCs w:val="28"/>
                                      <w:lang w:val="uk-UA"/>
                                    </w:rPr>
                                    <w:t>від 30 листопада 2018 року</w:t>
                                  </w:r>
                                </w:p>
                                <w:p w:rsidR="00F74483" w:rsidRDefault="00F74483">
                                  <w:pPr>
                                    <w:snapToGrid w:val="0"/>
                                  </w:pPr>
                                </w:p>
                                <w:p w:rsidR="00F74483" w:rsidRDefault="00F74483">
                                  <w:pPr>
                                    <w:pStyle w:val="LO-Normal"/>
                                    <w:jc w:val="both"/>
                                    <w:rPr>
                                      <w:sz w:val="28"/>
                                      <w:szCs w:val="28"/>
                                      <w:lang w:val="uk-UA"/>
                                    </w:rPr>
                                  </w:pPr>
                                  <w:r>
                                    <w:rPr>
                                      <w:sz w:val="28"/>
                                      <w:szCs w:val="28"/>
                                      <w:lang w:val="uk-UA"/>
                                    </w:rPr>
                                    <w:t xml:space="preserve">Про внесення змін до програми </w:t>
                                  </w:r>
                                </w:p>
                                <w:p w:rsidR="00F74483" w:rsidRDefault="00F74483">
                                  <w:pPr>
                                    <w:pStyle w:val="LO-Normal"/>
                                    <w:jc w:val="both"/>
                                    <w:rPr>
                                      <w:sz w:val="28"/>
                                      <w:szCs w:val="28"/>
                                      <w:lang w:val="uk-UA"/>
                                    </w:rPr>
                                  </w:pPr>
                                  <w:r>
                                    <w:rPr>
                                      <w:sz w:val="28"/>
                                      <w:szCs w:val="28"/>
                                      <w:lang w:val="uk-UA"/>
                                    </w:rPr>
                                    <w:t>підтримки малого та середнього</w:t>
                                  </w:r>
                                </w:p>
                                <w:p w:rsidR="00F74483" w:rsidRDefault="00F74483">
                                  <w:pPr>
                                    <w:pStyle w:val="LO-Normal"/>
                                    <w:jc w:val="both"/>
                                    <w:rPr>
                                      <w:sz w:val="28"/>
                                      <w:szCs w:val="28"/>
                                      <w:lang w:val="uk-UA"/>
                                    </w:rPr>
                                  </w:pPr>
                                  <w:r>
                                    <w:rPr>
                                      <w:sz w:val="28"/>
                                      <w:szCs w:val="28"/>
                                      <w:lang w:val="uk-UA"/>
                                    </w:rPr>
                                    <w:t>підприємництва в  Шосткинському</w:t>
                                  </w:r>
                                </w:p>
                                <w:p w:rsidR="00F74483" w:rsidRDefault="00F74483">
                                  <w:pPr>
                                    <w:pStyle w:val="LO-Normal"/>
                                    <w:jc w:val="both"/>
                                  </w:pPr>
                                  <w:r>
                                    <w:rPr>
                                      <w:sz w:val="28"/>
                                      <w:szCs w:val="28"/>
                                      <w:lang w:val="uk-UA"/>
                                    </w:rPr>
                                    <w:t>районі на 2017-2020 роки</w:t>
                                  </w:r>
                                </w:p>
                              </w:tc>
                            </w:tr>
                          </w:tbl>
                          <w:p w:rsidR="00F74483" w:rsidRDefault="00F74483" w:rsidP="00F744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pt;margin-top:13.85pt;width:248.1pt;height:97.5pt;z-index:251660288;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" stroked="f">
                <v:fill opacity="0"/>
                <v:textbox inset="0,0,0,0">
                  <w:txbxContent>
                    <w:tbl>
                      <w:tblPr>
                        <w:tblW w:w="0" w:type="auto"/>
                        <w:tblInd w:w="108" w:type="dxa"/>
                        <w:tblLayout w:type="fixed"/>
                        <w:tblLook w:val="0000" w:firstRow="0" w:lastRow="0" w:firstColumn="0" w:lastColumn="0" w:noHBand="0" w:noVBand="0"/>
                      </w:tblPr>
                      <w:tblGrid>
                        <w:gridCol w:w="6345"/>
                      </w:tblGrid>
                      <w:tr w:rsidR="00F74483">
                        <w:trPr>
                          <w:trHeight w:val="1618"/>
                        </w:trPr>
                        <w:tc>
                          <w:tcPr>
                            <w:tcW w:w="6345" w:type="dxa"/>
                            <w:shd w:val="clear" w:color="auto" w:fill="auto"/>
                          </w:tcPr>
                          <w:p w:rsidR="00F74483" w:rsidRDefault="00F74483">
                            <w:pPr>
                              <w:snapToGrid w:val="0"/>
                            </w:pPr>
                            <w:r>
                              <w:rPr>
                                <w:szCs w:val="28"/>
                                <w:lang w:val="uk-UA"/>
                              </w:rPr>
                              <w:t>від 30 листопада 2018 року</w:t>
                            </w:r>
                          </w:p>
                          <w:p w:rsidR="00F74483" w:rsidRDefault="00F74483">
                            <w:pPr>
                              <w:snapToGrid w:val="0"/>
                            </w:pPr>
                          </w:p>
                          <w:p w:rsidR="00F74483" w:rsidRDefault="00F74483">
                            <w:pPr>
                              <w:pStyle w:val="LO-Normal"/>
                              <w:jc w:val="both"/>
                              <w:rPr>
                                <w:sz w:val="28"/>
                                <w:szCs w:val="28"/>
                                <w:lang w:val="uk-UA"/>
                              </w:rPr>
                            </w:pPr>
                            <w:r>
                              <w:rPr>
                                <w:sz w:val="28"/>
                                <w:szCs w:val="28"/>
                                <w:lang w:val="uk-UA"/>
                              </w:rPr>
                              <w:t xml:space="preserve">Про внесення змін до програми </w:t>
                            </w:r>
                          </w:p>
                          <w:p w:rsidR="00F74483" w:rsidRDefault="00F74483">
                            <w:pPr>
                              <w:pStyle w:val="LO-Normal"/>
                              <w:jc w:val="both"/>
                              <w:rPr>
                                <w:sz w:val="28"/>
                                <w:szCs w:val="28"/>
                                <w:lang w:val="uk-UA"/>
                              </w:rPr>
                            </w:pPr>
                            <w:r>
                              <w:rPr>
                                <w:sz w:val="28"/>
                                <w:szCs w:val="28"/>
                                <w:lang w:val="uk-UA"/>
                              </w:rPr>
                              <w:t>підтримки малого та середнього</w:t>
                            </w:r>
                          </w:p>
                          <w:p w:rsidR="00F74483" w:rsidRDefault="00F74483">
                            <w:pPr>
                              <w:pStyle w:val="LO-Normal"/>
                              <w:jc w:val="both"/>
                              <w:rPr>
                                <w:sz w:val="28"/>
                                <w:szCs w:val="28"/>
                                <w:lang w:val="uk-UA"/>
                              </w:rPr>
                            </w:pPr>
                            <w:r>
                              <w:rPr>
                                <w:sz w:val="28"/>
                                <w:szCs w:val="28"/>
                                <w:lang w:val="uk-UA"/>
                              </w:rPr>
                              <w:t>підприємництва в  Шосткинському</w:t>
                            </w:r>
                          </w:p>
                          <w:p w:rsidR="00F74483" w:rsidRDefault="00F74483">
                            <w:pPr>
                              <w:pStyle w:val="LO-Normal"/>
                              <w:jc w:val="both"/>
                            </w:pPr>
                            <w:r>
                              <w:rPr>
                                <w:sz w:val="28"/>
                                <w:szCs w:val="28"/>
                                <w:lang w:val="uk-UA"/>
                              </w:rPr>
                              <w:t>районі на 2017-2020 роки</w:t>
                            </w:r>
                          </w:p>
                        </w:tc>
                      </w:tr>
                    </w:tbl>
                    <w:p w:rsidR="00F74483" w:rsidRDefault="00F74483" w:rsidP="00F74483"/>
                  </w:txbxContent>
                </v:textbox>
                <w10:wrap type="square"/>
              </v:shape>
            </w:pict>
          </mc:Fallback>
        </mc:AlternateContent>
      </w:r>
    </w:p>
    <w:p w:rsidR="00F74483" w:rsidRDefault="00F74483" w:rsidP="00F74483">
      <w:pPr>
        <w:pStyle w:val="HTML"/>
        <w:ind w:firstLine="540"/>
        <w:jc w:val="both"/>
        <w:rPr>
          <w:rFonts w:ascii="Times New Roman" w:hAnsi="Times New Roman" w:cs="Times New Roman"/>
          <w:sz w:val="28"/>
          <w:szCs w:val="28"/>
          <w:lang w:val="uk-UA"/>
        </w:rPr>
      </w:pPr>
    </w:p>
    <w:p w:rsidR="00F74483" w:rsidRDefault="00F74483" w:rsidP="00F74483">
      <w:pPr>
        <w:pStyle w:val="HTML"/>
        <w:ind w:firstLine="540"/>
        <w:jc w:val="both"/>
        <w:rPr>
          <w:rFonts w:ascii="Times New Roman" w:hAnsi="Times New Roman" w:cs="Times New Roman"/>
          <w:sz w:val="28"/>
          <w:szCs w:val="28"/>
          <w:lang w:val="uk-UA"/>
        </w:rPr>
      </w:pPr>
    </w:p>
    <w:p w:rsidR="00F74483" w:rsidRDefault="00F74483" w:rsidP="00F74483">
      <w:pPr>
        <w:pStyle w:val="HTML"/>
        <w:ind w:firstLine="540"/>
        <w:jc w:val="both"/>
        <w:rPr>
          <w:rFonts w:ascii="Times New Roman" w:hAnsi="Times New Roman" w:cs="Times New Roman"/>
          <w:sz w:val="28"/>
          <w:szCs w:val="28"/>
          <w:lang w:val="uk-UA"/>
        </w:rPr>
      </w:pPr>
    </w:p>
    <w:p w:rsidR="00F74483" w:rsidRDefault="00F74483" w:rsidP="00F74483">
      <w:pPr>
        <w:pStyle w:val="HTML"/>
        <w:ind w:firstLine="540"/>
        <w:jc w:val="both"/>
        <w:rPr>
          <w:rFonts w:ascii="Times New Roman" w:hAnsi="Times New Roman" w:cs="Times New Roman"/>
          <w:sz w:val="28"/>
          <w:szCs w:val="28"/>
          <w:lang w:val="uk-UA"/>
        </w:rPr>
      </w:pPr>
    </w:p>
    <w:p w:rsidR="00F74483" w:rsidRDefault="00F74483" w:rsidP="00F74483">
      <w:pPr>
        <w:pStyle w:val="HTML"/>
        <w:ind w:firstLine="540"/>
        <w:jc w:val="both"/>
        <w:rPr>
          <w:rFonts w:ascii="Times New Roman" w:hAnsi="Times New Roman" w:cs="Times New Roman"/>
          <w:sz w:val="28"/>
          <w:szCs w:val="28"/>
          <w:lang w:val="uk-UA"/>
        </w:rPr>
      </w:pPr>
    </w:p>
    <w:p w:rsidR="00F74483" w:rsidRDefault="00F74483" w:rsidP="00F74483">
      <w:pPr>
        <w:pStyle w:val="HTML"/>
        <w:ind w:firstLine="540"/>
        <w:jc w:val="both"/>
        <w:rPr>
          <w:rFonts w:ascii="Times New Roman" w:hAnsi="Times New Roman" w:cs="Times New Roman"/>
          <w:sz w:val="28"/>
          <w:szCs w:val="28"/>
          <w:lang w:val="uk-UA"/>
        </w:rPr>
      </w:pPr>
    </w:p>
    <w:p w:rsidR="00F74483" w:rsidRDefault="00F74483" w:rsidP="00F74483">
      <w:pPr>
        <w:pStyle w:val="LO-Normal"/>
        <w:ind w:firstLine="720"/>
        <w:jc w:val="both"/>
        <w:rPr>
          <w:sz w:val="24"/>
          <w:szCs w:val="24"/>
          <w:lang w:val="uk-UA"/>
        </w:rPr>
      </w:pPr>
    </w:p>
    <w:p w:rsidR="00F74483" w:rsidRDefault="00F74483" w:rsidP="00F74483">
      <w:pPr>
        <w:pStyle w:val="LO-Normal"/>
        <w:ind w:firstLine="720"/>
        <w:jc w:val="both"/>
        <w:rPr>
          <w:sz w:val="24"/>
          <w:szCs w:val="24"/>
          <w:lang w:val="uk-UA"/>
        </w:rPr>
      </w:pPr>
    </w:p>
    <w:p w:rsidR="00F74483" w:rsidRDefault="00F74483" w:rsidP="00F74483">
      <w:pPr>
        <w:pStyle w:val="LO-Normal"/>
        <w:ind w:firstLine="720"/>
        <w:jc w:val="both"/>
        <w:rPr>
          <w:szCs w:val="28"/>
          <w:lang w:val="uk-UA"/>
        </w:rPr>
      </w:pPr>
      <w:r>
        <w:rPr>
          <w:sz w:val="28"/>
          <w:szCs w:val="28"/>
          <w:lang w:val="uk-UA"/>
        </w:rPr>
        <w:t>Розглянувши надані Шосткинською районною державною адміністрацією пропозиції щодо внесення змін до Програми підтримки малого та середнього підприємництва в Шосткинському районі на 2017-2020 роки,  з метою створення  сприятливих умов для зростання малого та середнього підприємництва, керуючись пунктом 16 частини першої статті 43 Закону України «Про місцеве самоврядування в Україні», районна рада вирішила:</w:t>
      </w:r>
    </w:p>
    <w:p w:rsidR="00F74483" w:rsidRDefault="00F74483" w:rsidP="00F74483">
      <w:pPr>
        <w:ind w:firstLine="720"/>
        <w:jc w:val="both"/>
        <w:rPr>
          <w:szCs w:val="28"/>
          <w:lang w:val="uk-UA"/>
        </w:rPr>
      </w:pPr>
      <w:r>
        <w:rPr>
          <w:szCs w:val="28"/>
          <w:lang w:val="uk-UA"/>
        </w:rPr>
        <w:t>1. Унести зміни до Програми підтримки малого та середнього підприємництва в Шосткинському районі на 2017-2020 роки (далі - Програма), затвердженої рішенням Шосткинської районної ради від 21 грудня 2016 року                  (зі змінами від 27 жовтня 2017 року, 28 лютого 2018 року, 11 травня 2018 року, 12 вересня 2018 року):</w:t>
      </w:r>
    </w:p>
    <w:p w:rsidR="00F74483" w:rsidRDefault="00F74483" w:rsidP="00F74483">
      <w:pPr>
        <w:ind w:firstLine="720"/>
        <w:jc w:val="both"/>
        <w:rPr>
          <w:szCs w:val="28"/>
        </w:rPr>
      </w:pPr>
      <w:r>
        <w:rPr>
          <w:szCs w:val="28"/>
          <w:lang w:val="uk-UA"/>
        </w:rPr>
        <w:t>1.1. Пункт 9 розділу 1.“Характеристика  Програми підтримки малого та середнього підприємництва в Шосткинському районі на 2017-2020 роки” викласти в наступній редакції:</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0"/>
        <w:gridCol w:w="2737"/>
        <w:gridCol w:w="1654"/>
        <w:gridCol w:w="1653"/>
        <w:gridCol w:w="1654"/>
        <w:gridCol w:w="1662"/>
      </w:tblGrid>
      <w:tr w:rsidR="00F74483" w:rsidTr="004479B2">
        <w:tc>
          <w:tcPr>
            <w:tcW w:w="570" w:type="dxa"/>
            <w:tcBorders>
              <w:top w:val="single" w:sz="1" w:space="0" w:color="000000"/>
              <w:left w:val="single" w:sz="1" w:space="0" w:color="000000"/>
              <w:bottom w:val="single" w:sz="1" w:space="0" w:color="000000"/>
            </w:tcBorders>
            <w:shd w:val="clear" w:color="auto" w:fill="auto"/>
            <w:vAlign w:val="center"/>
          </w:tcPr>
          <w:p w:rsidR="00F74483" w:rsidRDefault="00F74483" w:rsidP="004479B2">
            <w:pPr>
              <w:pStyle w:val="a3"/>
              <w:jc w:val="center"/>
              <w:rPr>
                <w:szCs w:val="28"/>
                <w:lang w:val="uk-UA"/>
              </w:rPr>
            </w:pPr>
            <w:r>
              <w:rPr>
                <w:szCs w:val="28"/>
              </w:rPr>
              <w:t>9.</w:t>
            </w:r>
          </w:p>
        </w:tc>
        <w:tc>
          <w:tcPr>
            <w:tcW w:w="2737" w:type="dxa"/>
            <w:tcBorders>
              <w:top w:val="single" w:sz="1" w:space="0" w:color="000000"/>
              <w:left w:val="single" w:sz="1" w:space="0" w:color="000000"/>
              <w:bottom w:val="single" w:sz="1" w:space="0" w:color="000000"/>
            </w:tcBorders>
            <w:shd w:val="clear" w:color="auto" w:fill="auto"/>
          </w:tcPr>
          <w:p w:rsidR="00F74483" w:rsidRDefault="00F74483" w:rsidP="004479B2">
            <w:pPr>
              <w:pStyle w:val="a3"/>
              <w:jc w:val="both"/>
              <w:rPr>
                <w:sz w:val="10"/>
                <w:szCs w:val="10"/>
                <w:lang w:val="uk-UA"/>
              </w:rPr>
            </w:pPr>
            <w:r>
              <w:rPr>
                <w:szCs w:val="28"/>
                <w:lang w:val="uk-UA"/>
              </w:rPr>
              <w:t>Джерела фінансування Програми:</w:t>
            </w:r>
          </w:p>
          <w:p w:rsidR="00F74483" w:rsidRDefault="00F74483" w:rsidP="004479B2">
            <w:pPr>
              <w:pStyle w:val="a3"/>
              <w:jc w:val="both"/>
              <w:rPr>
                <w:sz w:val="10"/>
                <w:szCs w:val="10"/>
                <w:lang w:val="uk-UA"/>
              </w:rPr>
            </w:pPr>
          </w:p>
          <w:p w:rsidR="00F74483" w:rsidRDefault="00F74483" w:rsidP="004479B2">
            <w:pPr>
              <w:pStyle w:val="a3"/>
              <w:jc w:val="both"/>
              <w:rPr>
                <w:sz w:val="10"/>
                <w:szCs w:val="10"/>
                <w:lang w:val="uk-UA"/>
              </w:rPr>
            </w:pPr>
            <w:r>
              <w:rPr>
                <w:szCs w:val="28"/>
                <w:lang w:val="uk-UA"/>
              </w:rPr>
              <w:t>кошти районного бюджету</w:t>
            </w:r>
          </w:p>
          <w:p w:rsidR="00F74483" w:rsidRDefault="00F74483" w:rsidP="004479B2">
            <w:pPr>
              <w:pStyle w:val="a3"/>
              <w:jc w:val="both"/>
              <w:rPr>
                <w:sz w:val="10"/>
                <w:szCs w:val="10"/>
                <w:lang w:val="uk-UA"/>
              </w:rPr>
            </w:pPr>
          </w:p>
          <w:p w:rsidR="00F74483" w:rsidRDefault="00F74483" w:rsidP="004479B2">
            <w:pPr>
              <w:pStyle w:val="a3"/>
              <w:jc w:val="both"/>
              <w:rPr>
                <w:szCs w:val="28"/>
              </w:rPr>
            </w:pPr>
            <w:r>
              <w:rPr>
                <w:szCs w:val="28"/>
                <w:lang w:val="uk-UA"/>
              </w:rPr>
              <w:t>кошти суб'єктів господарювання</w:t>
            </w:r>
          </w:p>
        </w:tc>
        <w:tc>
          <w:tcPr>
            <w:tcW w:w="1654" w:type="dxa"/>
            <w:tcBorders>
              <w:top w:val="single" w:sz="1" w:space="0" w:color="000000"/>
              <w:left w:val="single" w:sz="1" w:space="0" w:color="000000"/>
              <w:bottom w:val="single" w:sz="1" w:space="0" w:color="000000"/>
            </w:tcBorders>
            <w:shd w:val="clear" w:color="auto" w:fill="auto"/>
          </w:tcPr>
          <w:p w:rsidR="00F74483" w:rsidRDefault="00F74483" w:rsidP="004479B2">
            <w:pPr>
              <w:pStyle w:val="a3"/>
              <w:jc w:val="both"/>
              <w:rPr>
                <w:szCs w:val="28"/>
              </w:rPr>
            </w:pPr>
            <w:r>
              <w:rPr>
                <w:szCs w:val="28"/>
              </w:rPr>
              <w:t>3,0</w:t>
            </w:r>
          </w:p>
          <w:p w:rsidR="00F74483" w:rsidRDefault="00F74483" w:rsidP="004479B2">
            <w:pPr>
              <w:pStyle w:val="a3"/>
              <w:jc w:val="both"/>
              <w:rPr>
                <w:szCs w:val="28"/>
              </w:rPr>
            </w:pPr>
          </w:p>
          <w:p w:rsidR="00F74483" w:rsidRDefault="00F74483" w:rsidP="004479B2">
            <w:pPr>
              <w:pStyle w:val="a3"/>
              <w:jc w:val="both"/>
              <w:rPr>
                <w:szCs w:val="28"/>
              </w:rPr>
            </w:pPr>
          </w:p>
          <w:p w:rsidR="00F74483" w:rsidRDefault="00F74483" w:rsidP="004479B2">
            <w:pPr>
              <w:pStyle w:val="a3"/>
              <w:jc w:val="both"/>
              <w:rPr>
                <w:szCs w:val="28"/>
              </w:rPr>
            </w:pPr>
            <w:r>
              <w:rPr>
                <w:szCs w:val="28"/>
              </w:rPr>
              <w:t>3,0</w:t>
            </w:r>
          </w:p>
        </w:tc>
        <w:tc>
          <w:tcPr>
            <w:tcW w:w="1653" w:type="dxa"/>
            <w:tcBorders>
              <w:top w:val="single" w:sz="1" w:space="0" w:color="000000"/>
              <w:left w:val="single" w:sz="1" w:space="0" w:color="000000"/>
              <w:bottom w:val="single" w:sz="1" w:space="0" w:color="000000"/>
            </w:tcBorders>
            <w:shd w:val="clear" w:color="auto" w:fill="auto"/>
          </w:tcPr>
          <w:p w:rsidR="00F74483" w:rsidRDefault="00F74483" w:rsidP="004479B2">
            <w:pPr>
              <w:pStyle w:val="a3"/>
              <w:jc w:val="both"/>
              <w:rPr>
                <w:szCs w:val="28"/>
              </w:rPr>
            </w:pPr>
            <w:r>
              <w:rPr>
                <w:szCs w:val="28"/>
              </w:rPr>
              <w:t>53,83</w:t>
            </w:r>
          </w:p>
          <w:p w:rsidR="00F74483" w:rsidRDefault="00F74483" w:rsidP="004479B2">
            <w:pPr>
              <w:pStyle w:val="a3"/>
              <w:jc w:val="both"/>
              <w:rPr>
                <w:szCs w:val="28"/>
              </w:rPr>
            </w:pPr>
          </w:p>
          <w:p w:rsidR="00F74483" w:rsidRDefault="00F74483" w:rsidP="004479B2">
            <w:pPr>
              <w:pStyle w:val="a3"/>
              <w:jc w:val="both"/>
              <w:rPr>
                <w:szCs w:val="28"/>
              </w:rPr>
            </w:pPr>
          </w:p>
          <w:p w:rsidR="00F74483" w:rsidRDefault="00F74483" w:rsidP="004479B2">
            <w:pPr>
              <w:pStyle w:val="a3"/>
              <w:jc w:val="both"/>
              <w:rPr>
                <w:szCs w:val="28"/>
              </w:rPr>
            </w:pPr>
            <w:r>
              <w:rPr>
                <w:szCs w:val="28"/>
              </w:rPr>
              <w:t>53,83</w:t>
            </w:r>
          </w:p>
        </w:tc>
        <w:tc>
          <w:tcPr>
            <w:tcW w:w="1654" w:type="dxa"/>
            <w:tcBorders>
              <w:top w:val="single" w:sz="1" w:space="0" w:color="000000"/>
              <w:left w:val="single" w:sz="1" w:space="0" w:color="000000"/>
              <w:bottom w:val="single" w:sz="1" w:space="0" w:color="000000"/>
            </w:tcBorders>
            <w:shd w:val="clear" w:color="auto" w:fill="auto"/>
          </w:tcPr>
          <w:p w:rsidR="00F74483" w:rsidRDefault="00F74483" w:rsidP="004479B2">
            <w:pPr>
              <w:pStyle w:val="a3"/>
              <w:jc w:val="both"/>
              <w:rPr>
                <w:szCs w:val="28"/>
              </w:rPr>
            </w:pPr>
            <w:r>
              <w:rPr>
                <w:szCs w:val="28"/>
              </w:rPr>
              <w:t>203,83</w:t>
            </w:r>
          </w:p>
          <w:p w:rsidR="00F74483" w:rsidRDefault="00F74483" w:rsidP="004479B2">
            <w:pPr>
              <w:pStyle w:val="a3"/>
              <w:jc w:val="both"/>
              <w:rPr>
                <w:szCs w:val="28"/>
              </w:rPr>
            </w:pPr>
          </w:p>
          <w:p w:rsidR="00F74483" w:rsidRDefault="00F74483" w:rsidP="004479B2">
            <w:pPr>
              <w:pStyle w:val="a3"/>
              <w:jc w:val="both"/>
              <w:rPr>
                <w:szCs w:val="28"/>
              </w:rPr>
            </w:pPr>
          </w:p>
          <w:p w:rsidR="00F74483" w:rsidRDefault="00F74483" w:rsidP="004479B2">
            <w:pPr>
              <w:pStyle w:val="a3"/>
              <w:jc w:val="both"/>
              <w:rPr>
                <w:szCs w:val="28"/>
              </w:rPr>
            </w:pPr>
            <w:r>
              <w:rPr>
                <w:szCs w:val="28"/>
              </w:rPr>
              <w:t>203,83</w:t>
            </w:r>
          </w:p>
        </w:tc>
        <w:tc>
          <w:tcPr>
            <w:tcW w:w="1662" w:type="dxa"/>
            <w:tcBorders>
              <w:top w:val="single" w:sz="1" w:space="0" w:color="000000"/>
              <w:left w:val="single" w:sz="1" w:space="0" w:color="000000"/>
              <w:bottom w:val="single" w:sz="1" w:space="0" w:color="000000"/>
              <w:right w:val="single" w:sz="1" w:space="0" w:color="000000"/>
            </w:tcBorders>
            <w:shd w:val="clear" w:color="auto" w:fill="auto"/>
          </w:tcPr>
          <w:p w:rsidR="00F74483" w:rsidRDefault="00F74483" w:rsidP="004479B2">
            <w:pPr>
              <w:pStyle w:val="a3"/>
              <w:jc w:val="both"/>
              <w:rPr>
                <w:szCs w:val="28"/>
              </w:rPr>
            </w:pPr>
            <w:r>
              <w:rPr>
                <w:szCs w:val="28"/>
              </w:rPr>
              <w:t>203,83</w:t>
            </w:r>
          </w:p>
          <w:p w:rsidR="00F74483" w:rsidRDefault="00F74483" w:rsidP="004479B2">
            <w:pPr>
              <w:pStyle w:val="a3"/>
              <w:jc w:val="both"/>
              <w:rPr>
                <w:szCs w:val="28"/>
              </w:rPr>
            </w:pPr>
          </w:p>
          <w:p w:rsidR="00F74483" w:rsidRDefault="00F74483" w:rsidP="004479B2">
            <w:pPr>
              <w:pStyle w:val="a3"/>
              <w:jc w:val="both"/>
              <w:rPr>
                <w:szCs w:val="28"/>
              </w:rPr>
            </w:pPr>
          </w:p>
          <w:p w:rsidR="00F74483" w:rsidRDefault="00F74483" w:rsidP="004479B2">
            <w:pPr>
              <w:pStyle w:val="a3"/>
              <w:jc w:val="both"/>
            </w:pPr>
            <w:r>
              <w:rPr>
                <w:szCs w:val="28"/>
              </w:rPr>
              <w:t>203,83</w:t>
            </w:r>
          </w:p>
        </w:tc>
      </w:tr>
    </w:tbl>
    <w:p w:rsidR="00F74483" w:rsidRDefault="00F74483" w:rsidP="00F74483">
      <w:pPr>
        <w:jc w:val="both"/>
        <w:rPr>
          <w:szCs w:val="28"/>
          <w:lang w:val="uk-UA"/>
        </w:rPr>
      </w:pPr>
      <w:r>
        <w:rPr>
          <w:lang w:val="uk-UA"/>
        </w:rPr>
        <w:lastRenderedPageBreak/>
        <w:tab/>
      </w:r>
      <w:r>
        <w:rPr>
          <w:lang w:val="uk-UA"/>
        </w:rPr>
        <w:tab/>
        <w:t xml:space="preserve">1.2. </w:t>
      </w:r>
      <w:r>
        <w:rPr>
          <w:szCs w:val="28"/>
          <w:lang w:val="uk-UA"/>
        </w:rPr>
        <w:t>Підпункт 2.1.3. пункту 2.1. розділу ІІ “Фінансово-кредитна та інвестиційна підтримка” додатку 1 “Заходи Програми” викласти у новій редакції (додається).</w:t>
      </w:r>
    </w:p>
    <w:p w:rsidR="00F74483" w:rsidRDefault="00F74483" w:rsidP="00F74483">
      <w:pPr>
        <w:jc w:val="both"/>
      </w:pPr>
      <w:r>
        <w:rPr>
          <w:szCs w:val="28"/>
          <w:lang w:val="uk-UA"/>
        </w:rPr>
        <w:tab/>
      </w:r>
      <w:r>
        <w:rPr>
          <w:szCs w:val="28"/>
          <w:lang w:val="uk-UA"/>
        </w:rPr>
        <w:tab/>
        <w:t xml:space="preserve">1.3. </w:t>
      </w:r>
      <w:r>
        <w:rPr>
          <w:lang w:val="uk-UA"/>
        </w:rPr>
        <w:t xml:space="preserve">Змінити розділ “Усього по Програмі” </w:t>
      </w:r>
      <w:r>
        <w:rPr>
          <w:szCs w:val="28"/>
          <w:lang w:val="uk-UA"/>
        </w:rPr>
        <w:t>додатку 1 “Заходи Програми” з</w:t>
      </w:r>
      <w:r>
        <w:rPr>
          <w:lang w:val="uk-UA"/>
        </w:rPr>
        <w:t>агальну суму коштів, передбачених на виконання даної Програми, та викласти</w:t>
      </w:r>
      <w:r>
        <w:rPr>
          <w:szCs w:val="28"/>
          <w:lang w:val="uk-UA"/>
        </w:rPr>
        <w:t xml:space="preserve"> </w:t>
      </w:r>
      <w:r>
        <w:rPr>
          <w:lang w:val="uk-UA"/>
        </w:rPr>
        <w:t>наступним чином: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2160"/>
        <w:gridCol w:w="4935"/>
      </w:tblGrid>
      <w:tr w:rsidR="00F74483" w:rsidTr="004479B2">
        <w:tc>
          <w:tcPr>
            <w:tcW w:w="2835" w:type="dxa"/>
            <w:tcBorders>
              <w:top w:val="single" w:sz="1" w:space="0" w:color="000000"/>
              <w:left w:val="single" w:sz="1" w:space="0" w:color="000000"/>
              <w:bottom w:val="single" w:sz="1" w:space="0" w:color="000000"/>
            </w:tcBorders>
            <w:shd w:val="clear" w:color="auto" w:fill="auto"/>
          </w:tcPr>
          <w:p w:rsidR="00F74483" w:rsidRDefault="00F74483" w:rsidP="004479B2">
            <w:pPr>
              <w:pStyle w:val="a3"/>
              <w:jc w:val="both"/>
            </w:pPr>
            <w:r>
              <w:t>Усього по Програмі</w:t>
            </w:r>
          </w:p>
        </w:tc>
        <w:tc>
          <w:tcPr>
            <w:tcW w:w="2160" w:type="dxa"/>
            <w:tcBorders>
              <w:top w:val="single" w:sz="1" w:space="0" w:color="000000"/>
              <w:left w:val="single" w:sz="1" w:space="0" w:color="000000"/>
              <w:bottom w:val="single" w:sz="1" w:space="0" w:color="000000"/>
            </w:tcBorders>
            <w:shd w:val="clear" w:color="auto" w:fill="auto"/>
          </w:tcPr>
          <w:p w:rsidR="00F74483" w:rsidRDefault="00F74483" w:rsidP="004479B2">
            <w:pPr>
              <w:pStyle w:val="a3"/>
              <w:jc w:val="both"/>
            </w:pPr>
            <w:r>
              <w:t>Кошти районного бюджету</w:t>
            </w:r>
          </w:p>
        </w:tc>
        <w:tc>
          <w:tcPr>
            <w:tcW w:w="4935" w:type="dxa"/>
            <w:tcBorders>
              <w:top w:val="single" w:sz="1" w:space="0" w:color="000000"/>
              <w:left w:val="single" w:sz="1" w:space="0" w:color="000000"/>
              <w:bottom w:val="single" w:sz="1" w:space="0" w:color="000000"/>
              <w:right w:val="single" w:sz="1" w:space="0" w:color="000000"/>
            </w:tcBorders>
            <w:shd w:val="clear" w:color="auto" w:fill="auto"/>
          </w:tcPr>
          <w:p w:rsidR="00F74483" w:rsidRDefault="00F74483" w:rsidP="004479B2">
            <w:pPr>
              <w:pStyle w:val="a3"/>
              <w:jc w:val="both"/>
            </w:pPr>
            <w:r>
              <w:t>464,49 тис. грн., у тому числі:</w:t>
            </w:r>
          </w:p>
          <w:p w:rsidR="00F74483" w:rsidRDefault="00F74483" w:rsidP="004479B2">
            <w:pPr>
              <w:pStyle w:val="a3"/>
              <w:jc w:val="both"/>
            </w:pPr>
            <w:r>
              <w:t>2017 рік — 3,0 тис. грн.</w:t>
            </w:r>
          </w:p>
          <w:p w:rsidR="00F74483" w:rsidRDefault="00F74483" w:rsidP="004479B2">
            <w:pPr>
              <w:pStyle w:val="a3"/>
              <w:jc w:val="both"/>
            </w:pPr>
            <w:r>
              <w:t>2018 рік — 53,83 тис. грн.</w:t>
            </w:r>
          </w:p>
          <w:p w:rsidR="00F74483" w:rsidRDefault="00F74483" w:rsidP="004479B2">
            <w:pPr>
              <w:pStyle w:val="a3"/>
              <w:jc w:val="both"/>
            </w:pPr>
            <w:r>
              <w:t>2019 рік — 203,83 тис. грн.</w:t>
            </w:r>
          </w:p>
          <w:p w:rsidR="00F74483" w:rsidRDefault="00F74483" w:rsidP="004479B2">
            <w:pPr>
              <w:pStyle w:val="a3"/>
              <w:jc w:val="both"/>
            </w:pPr>
            <w:r>
              <w:t>2020 рік — 203,83 тис. грн.</w:t>
            </w:r>
          </w:p>
        </w:tc>
      </w:tr>
    </w:tbl>
    <w:p w:rsidR="00F74483" w:rsidRDefault="00F74483" w:rsidP="00F74483">
      <w:pPr>
        <w:ind w:firstLine="720"/>
        <w:jc w:val="both"/>
        <w:rPr>
          <w:szCs w:val="28"/>
          <w:shd w:val="clear" w:color="auto" w:fill="FFFFFF"/>
          <w:lang w:val="uk-UA" w:eastAsia="en-US"/>
        </w:rPr>
      </w:pPr>
      <w:r>
        <w:rPr>
          <w:szCs w:val="28"/>
          <w:lang w:val="uk-UA"/>
        </w:rPr>
        <w:t>1.4. У додатку 2 “Правила  надання часткової компенсації сплачених відсотків за кредитами, отриманими суб'єктами малого підприємництва у державних банківських установах” Програми:</w:t>
      </w:r>
    </w:p>
    <w:p w:rsidR="00F74483" w:rsidRDefault="00F74483" w:rsidP="00F74483">
      <w:pPr>
        <w:ind w:firstLine="720"/>
        <w:jc w:val="both"/>
        <w:rPr>
          <w:szCs w:val="28"/>
          <w:shd w:val="clear" w:color="auto" w:fill="FFFFFF"/>
          <w:lang w:val="uk-UA" w:eastAsia="en-US"/>
        </w:rPr>
      </w:pPr>
      <w:r>
        <w:rPr>
          <w:szCs w:val="28"/>
          <w:shd w:val="clear" w:color="auto" w:fill="FFFFFF"/>
          <w:lang w:val="uk-UA" w:eastAsia="en-US"/>
        </w:rPr>
        <w:t>1) Пункт 1.4 доповнити абзацом «</w:t>
      </w:r>
      <w:r>
        <w:rPr>
          <w:szCs w:val="28"/>
          <w:shd w:val="clear" w:color="auto" w:fill="FFFFFF"/>
          <w:lang w:val="uk-UA" w:eastAsia="uk-UA"/>
        </w:rPr>
        <w:t>У разі об'єднання територіальних громад у Шосткинському районі, к</w:t>
      </w:r>
      <w:r>
        <w:rPr>
          <w:szCs w:val="28"/>
          <w:shd w:val="clear" w:color="auto" w:fill="FFFFFF"/>
          <w:lang w:val="uk-UA" w:eastAsia="en-US"/>
        </w:rPr>
        <w:t xml:space="preserve">омпенсація може надаватися за рахунок районного бюджету суб'єктам підприємництва, які до об'єднання були зареєстровані та здійснювали підприємницьку діяльність на території району, та подали заяву на участь у конкурсному відборі на отримання часткової компенсації з районного бюджету сплачених відсотків за кредитами, що надаються державними банківськими установами, до прийняття рішення про створення об'єднаної територіальної громади».  </w:t>
      </w:r>
    </w:p>
    <w:p w:rsidR="00F74483" w:rsidRDefault="00F74483" w:rsidP="00F74483">
      <w:pPr>
        <w:ind w:firstLine="720"/>
        <w:jc w:val="both"/>
        <w:rPr>
          <w:szCs w:val="28"/>
          <w:shd w:val="clear" w:color="auto" w:fill="FFFFFF"/>
          <w:lang w:val="uk-UA" w:eastAsia="en-US"/>
        </w:rPr>
      </w:pPr>
      <w:r>
        <w:rPr>
          <w:szCs w:val="28"/>
          <w:shd w:val="clear" w:color="auto" w:fill="FFFFFF"/>
          <w:lang w:val="uk-UA" w:eastAsia="en-US"/>
        </w:rPr>
        <w:t>2) У підпункт в) пункту 2.7. додати абзац: «</w:t>
      </w:r>
      <w:r>
        <w:rPr>
          <w:szCs w:val="28"/>
          <w:shd w:val="clear" w:color="auto" w:fill="FFFFFF"/>
          <w:lang w:val="uk-UA" w:eastAsia="uk-UA"/>
        </w:rPr>
        <w:t>У разі об'єднання територіальних громад у Шосткинському районі, к</w:t>
      </w:r>
      <w:r>
        <w:rPr>
          <w:szCs w:val="28"/>
          <w:shd w:val="clear" w:color="auto" w:fill="FFFFFF"/>
          <w:lang w:val="uk-UA" w:eastAsia="en-US"/>
        </w:rPr>
        <w:t>омпенсація може надаватися за рахунок районного бюджету суб'єктам підприємництва, які до об'єднання були зареєстровані та здійснювали підприємницьку діяльність на території району, та подали заяву на участь у конкурсному відборі на отримання часткової компенсації з районного бюджету сплачених відсотків за кредитами, що надаються державними банківськими установами, до прийняття рішення про створення об'єднаної територіальної громади».</w:t>
      </w:r>
    </w:p>
    <w:p w:rsidR="00F74483" w:rsidRDefault="00F74483" w:rsidP="00F74483">
      <w:pPr>
        <w:shd w:val="clear" w:color="auto" w:fill="FFFFFF"/>
        <w:jc w:val="both"/>
        <w:textAlignment w:val="baseline"/>
        <w:rPr>
          <w:szCs w:val="28"/>
          <w:shd w:val="clear" w:color="auto" w:fill="FFFFFF"/>
          <w:lang w:val="uk-UA" w:eastAsia="en-US"/>
        </w:rPr>
      </w:pPr>
      <w:r>
        <w:rPr>
          <w:szCs w:val="28"/>
          <w:shd w:val="clear" w:color="auto" w:fill="FFFFFF"/>
          <w:lang w:val="uk-UA" w:eastAsia="en-US"/>
        </w:rPr>
        <w:tab/>
      </w:r>
      <w:r>
        <w:rPr>
          <w:szCs w:val="28"/>
          <w:shd w:val="clear" w:color="auto" w:fill="FFFFFF"/>
          <w:lang w:val="uk-UA" w:eastAsia="en-US"/>
        </w:rPr>
        <w:tab/>
        <w:t xml:space="preserve">  3) Підпункт б) пункту 3.3. після слів «отримання Кредиту» доповнити словами «(за наявності)».</w:t>
      </w:r>
    </w:p>
    <w:p w:rsidR="00F74483" w:rsidRDefault="00F74483" w:rsidP="00F74483">
      <w:pPr>
        <w:shd w:val="clear" w:color="auto" w:fill="FFFFFF"/>
        <w:ind w:left="737"/>
        <w:jc w:val="both"/>
        <w:textAlignment w:val="baseline"/>
        <w:rPr>
          <w:szCs w:val="28"/>
          <w:shd w:val="clear" w:color="auto" w:fill="FFFFFF"/>
          <w:lang w:val="uk-UA" w:eastAsia="en-US"/>
        </w:rPr>
      </w:pPr>
      <w:r>
        <w:rPr>
          <w:szCs w:val="28"/>
          <w:shd w:val="clear" w:color="auto" w:fill="FFFFFF"/>
          <w:lang w:val="uk-UA" w:eastAsia="en-US"/>
        </w:rPr>
        <w:t>4) У пункті 3.18. підпункти в), д) виключити.</w:t>
      </w:r>
    </w:p>
    <w:p w:rsidR="00F74483" w:rsidRDefault="00F74483" w:rsidP="00F74483">
      <w:pPr>
        <w:shd w:val="clear" w:color="auto" w:fill="FFFFFF"/>
        <w:ind w:left="737"/>
        <w:jc w:val="both"/>
        <w:textAlignment w:val="baseline"/>
        <w:rPr>
          <w:szCs w:val="28"/>
          <w:shd w:val="clear" w:color="auto" w:fill="FFFFFF"/>
          <w:lang w:val="uk-UA" w:eastAsia="en-US"/>
        </w:rPr>
      </w:pPr>
      <w:r>
        <w:rPr>
          <w:szCs w:val="28"/>
          <w:shd w:val="clear" w:color="auto" w:fill="FFFFFF"/>
          <w:lang w:val="uk-UA" w:eastAsia="en-US"/>
        </w:rPr>
        <w:t>5)  Пункт 3.23. викласти у новій редакції:</w:t>
      </w:r>
    </w:p>
    <w:p w:rsidR="00F74483" w:rsidRDefault="00F74483" w:rsidP="00F74483">
      <w:pPr>
        <w:shd w:val="clear" w:color="auto" w:fill="FFFFFF"/>
        <w:ind w:firstLine="794"/>
        <w:jc w:val="both"/>
        <w:textAlignment w:val="baseline"/>
        <w:rPr>
          <w:szCs w:val="28"/>
          <w:shd w:val="clear" w:color="auto" w:fill="FFFFFF"/>
          <w:lang w:val="uk-UA" w:eastAsia="en-US"/>
        </w:rPr>
      </w:pPr>
      <w:r>
        <w:rPr>
          <w:szCs w:val="28"/>
          <w:shd w:val="clear" w:color="auto" w:fill="FFFFFF"/>
          <w:lang w:val="uk-UA" w:eastAsia="en-US"/>
        </w:rPr>
        <w:t>«3.23. Суб'єкт підприємництва за розгляд заяви, зазначеної у                              пункті 3.3. цих Правил сплачує Фонду, за надання послуг відповідно до цих Правил, комісійний платіж - 250</w:t>
      </w:r>
      <w:r>
        <w:rPr>
          <w:szCs w:val="28"/>
          <w:shd w:val="clear" w:color="auto" w:fill="FFFFFF"/>
          <w:lang w:val="uk-UA" w:eastAsia="uk-UA"/>
        </w:rPr>
        <w:t xml:space="preserve"> (двісті п'ятдесят) гривень за кожну                                заяву Суб’єкта підприємництва – у термін не раніше виконання вимог  пункту 3.4. цих Правил, але до моменту виконання вимоги пункту 3.6. цих Правил. Дохід  від сплати Суб'єктами підприємництва комісійного платежу використовується Фондом на фінансування своєї поточної діяльності»</w:t>
      </w:r>
      <w:r>
        <w:rPr>
          <w:szCs w:val="28"/>
          <w:shd w:val="clear" w:color="auto" w:fill="FFFFFF"/>
          <w:lang w:val="uk-UA" w:eastAsia="en-US"/>
        </w:rPr>
        <w:t>.</w:t>
      </w:r>
    </w:p>
    <w:p w:rsidR="00F74483" w:rsidRDefault="00F74483" w:rsidP="00F74483">
      <w:pPr>
        <w:shd w:val="clear" w:color="auto" w:fill="FFFFFF"/>
        <w:ind w:firstLine="737"/>
        <w:jc w:val="both"/>
        <w:textAlignment w:val="baseline"/>
        <w:rPr>
          <w:szCs w:val="28"/>
          <w:lang w:val="uk-UA"/>
        </w:rPr>
      </w:pPr>
      <w:r>
        <w:rPr>
          <w:szCs w:val="28"/>
          <w:shd w:val="clear" w:color="auto" w:fill="FFFFFF"/>
          <w:lang w:val="uk-UA" w:eastAsia="en-US"/>
        </w:rPr>
        <w:t>У пункті 3.24. слова «будь-якими державними та недержавними банківськими установами» замінити словами «Банком за кредитним договором, за яким отриманий Кредит, та за іншими договорами про надання банківських послуг, укладеними з цим Банком».</w:t>
      </w:r>
    </w:p>
    <w:p w:rsidR="00F74483" w:rsidRDefault="00F74483" w:rsidP="00F74483">
      <w:pPr>
        <w:shd w:val="clear" w:color="auto" w:fill="FFFFFF"/>
        <w:ind w:firstLine="737"/>
        <w:jc w:val="both"/>
        <w:textAlignment w:val="baseline"/>
        <w:rPr>
          <w:szCs w:val="28"/>
          <w:lang w:val="uk-UA"/>
        </w:rPr>
      </w:pPr>
      <w:r>
        <w:rPr>
          <w:szCs w:val="28"/>
          <w:lang w:val="uk-UA"/>
        </w:rPr>
        <w:t>6) У додатку В до Правил:</w:t>
      </w:r>
    </w:p>
    <w:p w:rsidR="00F74483" w:rsidRDefault="00F74483" w:rsidP="00F74483">
      <w:pPr>
        <w:shd w:val="clear" w:color="auto" w:fill="FFFFFF"/>
        <w:ind w:firstLine="737"/>
        <w:jc w:val="both"/>
        <w:textAlignment w:val="baseline"/>
        <w:rPr>
          <w:szCs w:val="28"/>
          <w:lang w:val="uk-UA"/>
        </w:rPr>
      </w:pPr>
      <w:r>
        <w:rPr>
          <w:szCs w:val="28"/>
          <w:lang w:val="uk-UA"/>
        </w:rPr>
        <w:lastRenderedPageBreak/>
        <w:t>6.1). Перед словами «договір №___ про часткову компенсацію сплачених відсотків за банківськими кредитами» доповнити «орієнтовний».</w:t>
      </w:r>
    </w:p>
    <w:p w:rsidR="00F74483" w:rsidRDefault="00F74483" w:rsidP="00F74483">
      <w:pPr>
        <w:shd w:val="clear" w:color="auto" w:fill="FFFFFF"/>
        <w:ind w:firstLine="737"/>
        <w:jc w:val="both"/>
        <w:textAlignment w:val="baseline"/>
        <w:rPr>
          <w:szCs w:val="28"/>
          <w:lang w:val="uk-UA"/>
        </w:rPr>
      </w:pPr>
      <w:r>
        <w:rPr>
          <w:szCs w:val="28"/>
          <w:lang w:val="uk-UA"/>
        </w:rPr>
        <w:t>6.2) У розділі 2 «Умови надання компенсації»:</w:t>
      </w:r>
    </w:p>
    <w:p w:rsidR="00F74483" w:rsidRDefault="00F74483" w:rsidP="00F74483">
      <w:pPr>
        <w:shd w:val="clear" w:color="auto" w:fill="FFFFFF"/>
        <w:ind w:firstLine="737"/>
        <w:jc w:val="both"/>
        <w:textAlignment w:val="baseline"/>
        <w:rPr>
          <w:szCs w:val="28"/>
          <w:lang w:val="uk-UA" w:eastAsia="uk-UA"/>
        </w:rPr>
      </w:pPr>
      <w:r>
        <w:rPr>
          <w:szCs w:val="28"/>
          <w:lang w:val="uk-UA"/>
        </w:rPr>
        <w:t>6.2.1) Підпункт 2.1.8. пункту 2.1. слова «державними та                       недержавними банківськими установами» замінити словами «Банком                                  за іншими договорами про надання банківських послуг, укладеними з цим Банком».</w:t>
      </w:r>
    </w:p>
    <w:p w:rsidR="00F74483" w:rsidRDefault="00F74483" w:rsidP="00F74483">
      <w:pPr>
        <w:shd w:val="clear" w:color="auto" w:fill="FFFFFF"/>
        <w:ind w:firstLine="737"/>
        <w:jc w:val="both"/>
        <w:textAlignment w:val="baseline"/>
        <w:rPr>
          <w:szCs w:val="28"/>
          <w:lang w:val="uk-UA" w:eastAsia="en-US"/>
        </w:rPr>
      </w:pPr>
      <w:r>
        <w:rPr>
          <w:szCs w:val="28"/>
          <w:lang w:val="uk-UA" w:eastAsia="uk-UA"/>
        </w:rPr>
        <w:t>6.2.2) Пункт 2.6. виключити.</w:t>
      </w:r>
    </w:p>
    <w:p w:rsidR="00F74483" w:rsidRDefault="00F74483" w:rsidP="00F74483">
      <w:pPr>
        <w:shd w:val="clear" w:color="auto" w:fill="FFFFFF"/>
        <w:ind w:firstLine="737"/>
        <w:jc w:val="both"/>
        <w:textAlignment w:val="baseline"/>
        <w:rPr>
          <w:szCs w:val="28"/>
          <w:lang w:val="uk-UA" w:eastAsia="en-US"/>
        </w:rPr>
      </w:pPr>
      <w:r>
        <w:rPr>
          <w:szCs w:val="28"/>
          <w:lang w:val="uk-UA" w:eastAsia="en-US"/>
        </w:rPr>
        <w:t>7) У розділі 3 «Порядок виплати компенсації»:</w:t>
      </w:r>
    </w:p>
    <w:p w:rsidR="00F74483" w:rsidRDefault="00F74483" w:rsidP="00F74483">
      <w:pPr>
        <w:shd w:val="clear" w:color="auto" w:fill="FFFFFF"/>
        <w:ind w:firstLine="737"/>
        <w:jc w:val="both"/>
        <w:textAlignment w:val="baseline"/>
        <w:rPr>
          <w:szCs w:val="28"/>
          <w:lang w:val="uk-UA" w:eastAsia="uk-UA"/>
        </w:rPr>
      </w:pPr>
      <w:r>
        <w:rPr>
          <w:szCs w:val="28"/>
          <w:lang w:val="uk-UA" w:eastAsia="en-US"/>
        </w:rPr>
        <w:t>7.1) У пункті 3.1. слова «сума комісійного платежу за                         перерахування траншу Компенсації, яку має сплатити Суб’єкт                    підприємництва на користь Фонду, у розмірі 1% (один відсоток) від суми траншу» виключити.</w:t>
      </w:r>
    </w:p>
    <w:p w:rsidR="00F74483" w:rsidRDefault="00F74483" w:rsidP="00F74483">
      <w:pPr>
        <w:shd w:val="clear" w:color="auto" w:fill="FFFFFF"/>
        <w:jc w:val="both"/>
        <w:textAlignment w:val="baseline"/>
        <w:rPr>
          <w:szCs w:val="28"/>
          <w:lang w:val="uk-UA" w:eastAsia="uk-UA"/>
        </w:rPr>
      </w:pPr>
      <w:bookmarkStart w:id="0" w:name="_PictureBullets"/>
      <w:bookmarkEnd w:id="0"/>
      <w:r>
        <w:rPr>
          <w:szCs w:val="28"/>
          <w:lang w:val="uk-UA" w:eastAsia="uk-UA"/>
        </w:rPr>
        <w:tab/>
      </w:r>
      <w:r>
        <w:rPr>
          <w:szCs w:val="28"/>
          <w:lang w:val="uk-UA" w:eastAsia="uk-UA"/>
        </w:rPr>
        <w:tab/>
      </w:r>
      <w:r>
        <w:rPr>
          <w:szCs w:val="28"/>
          <w:lang w:val="uk-UA" w:eastAsia="uk-UA"/>
        </w:rPr>
        <w:tab/>
        <w:t>7.2) Підпункти 3.3.3., 3.3.5., 3.3.8. пункту 3.3 виключити, а                        підпункти 3.3.4., 3.3.6., 3.3.7. вважати відповідно підпунктами 3.3.3., 3.3.4., 3.3.5.</w:t>
      </w:r>
    </w:p>
    <w:p w:rsidR="00F74483" w:rsidRDefault="00F74483" w:rsidP="00F74483">
      <w:pPr>
        <w:shd w:val="clear" w:color="auto" w:fill="FFFFFF"/>
        <w:jc w:val="both"/>
        <w:textAlignment w:val="baseline"/>
        <w:rPr>
          <w:szCs w:val="28"/>
          <w:lang w:val="uk-UA" w:eastAsia="uk-UA"/>
        </w:rPr>
      </w:pPr>
      <w:r>
        <w:rPr>
          <w:szCs w:val="28"/>
          <w:lang w:val="uk-UA" w:eastAsia="uk-UA"/>
        </w:rPr>
        <w:tab/>
      </w:r>
      <w:r>
        <w:rPr>
          <w:szCs w:val="28"/>
          <w:lang w:val="uk-UA" w:eastAsia="uk-UA"/>
        </w:rPr>
        <w:tab/>
        <w:t xml:space="preserve">   7.3) Пункт 3.6. виключити.</w:t>
      </w:r>
    </w:p>
    <w:p w:rsidR="00F74483" w:rsidRDefault="00F74483" w:rsidP="00F74483">
      <w:pPr>
        <w:shd w:val="clear" w:color="auto" w:fill="FFFFFF"/>
        <w:jc w:val="both"/>
        <w:textAlignment w:val="baseline"/>
        <w:rPr>
          <w:szCs w:val="28"/>
          <w:lang w:val="uk-UA" w:eastAsia="uk-UA"/>
        </w:rPr>
      </w:pPr>
      <w:r>
        <w:rPr>
          <w:szCs w:val="28"/>
          <w:lang w:val="uk-UA" w:eastAsia="uk-UA"/>
        </w:rPr>
        <w:tab/>
      </w:r>
      <w:r>
        <w:rPr>
          <w:szCs w:val="28"/>
          <w:lang w:val="uk-UA" w:eastAsia="uk-UA"/>
        </w:rPr>
        <w:tab/>
        <w:t xml:space="preserve">  8) У розділі 4 «Права та обов'язки Сторін»: 3.8.1. Підпункт 4.1.1., 4.1.5. пункту 4.1. виключити, а підпункти 4.1.2., 4.1.3, 4.1.4 вважати відповідно  підпунктами 4.1.1., 4.1.2, 4.1.3.</w:t>
      </w:r>
    </w:p>
    <w:p w:rsidR="00F74483" w:rsidRDefault="00F74483" w:rsidP="00F74483">
      <w:pPr>
        <w:shd w:val="clear" w:color="auto" w:fill="FFFFFF"/>
        <w:jc w:val="both"/>
        <w:textAlignment w:val="baseline"/>
        <w:rPr>
          <w:szCs w:val="28"/>
          <w:lang w:val="uk-UA" w:eastAsia="uk-UA"/>
        </w:rPr>
      </w:pPr>
      <w:r>
        <w:rPr>
          <w:szCs w:val="28"/>
          <w:lang w:val="uk-UA" w:eastAsia="uk-UA"/>
        </w:rPr>
        <w:tab/>
      </w:r>
      <w:r>
        <w:rPr>
          <w:szCs w:val="28"/>
          <w:lang w:val="uk-UA" w:eastAsia="uk-UA"/>
        </w:rPr>
        <w:tab/>
        <w:t xml:space="preserve"> 8.2) Підпункт 4.4.4. пункту 4.4. виключити, а підпункт 4.4.5. вважати підпунктом 4.4.4.</w:t>
      </w:r>
    </w:p>
    <w:p w:rsidR="00F74483" w:rsidRDefault="00F74483" w:rsidP="00F74483">
      <w:pPr>
        <w:shd w:val="clear" w:color="auto" w:fill="FFFFFF"/>
        <w:textAlignment w:val="baseline"/>
        <w:rPr>
          <w:rFonts w:eastAsia="Calibri"/>
          <w:szCs w:val="28"/>
          <w:shd w:val="clear" w:color="auto" w:fill="FFFFFF"/>
          <w:lang w:val="uk-UA" w:eastAsia="en-US"/>
        </w:rPr>
      </w:pPr>
      <w:r>
        <w:rPr>
          <w:szCs w:val="28"/>
          <w:lang w:val="uk-UA" w:eastAsia="uk-UA"/>
        </w:rPr>
        <w:tab/>
      </w:r>
      <w:r>
        <w:rPr>
          <w:szCs w:val="28"/>
          <w:lang w:val="uk-UA" w:eastAsia="uk-UA"/>
        </w:rPr>
        <w:tab/>
        <w:t xml:space="preserve">  9) У додатку Г до Правил:                                                                                  </w:t>
      </w:r>
      <w:r>
        <w:rPr>
          <w:szCs w:val="28"/>
          <w:lang w:val="uk-UA" w:eastAsia="uk-UA"/>
        </w:rPr>
        <w:tab/>
      </w:r>
      <w:r>
        <w:rPr>
          <w:szCs w:val="28"/>
          <w:lang w:val="uk-UA" w:eastAsia="uk-UA"/>
        </w:rPr>
        <w:tab/>
      </w:r>
      <w:r>
        <w:rPr>
          <w:szCs w:val="28"/>
          <w:lang w:val="uk-UA" w:eastAsia="uk-UA"/>
        </w:rPr>
        <w:tab/>
        <w:t xml:space="preserve">  9.1) Перед словами    «</w:t>
      </w:r>
      <w:r>
        <w:rPr>
          <w:rFonts w:eastAsia="Calibri"/>
          <w:szCs w:val="28"/>
          <w:lang w:val="uk-UA" w:eastAsia="en-US"/>
        </w:rPr>
        <w:t xml:space="preserve">Додаткова   угода №__ </w:t>
      </w:r>
      <w:r>
        <w:rPr>
          <w:rFonts w:eastAsia="Calibri"/>
          <w:szCs w:val="28"/>
          <w:lang w:eastAsia="en-US"/>
        </w:rPr>
        <w:t xml:space="preserve">до </w:t>
      </w:r>
      <w:r>
        <w:rPr>
          <w:rFonts w:eastAsia="Calibri"/>
          <w:szCs w:val="28"/>
          <w:lang w:val="uk-UA" w:eastAsia="en-US"/>
        </w:rPr>
        <w:t xml:space="preserve">   </w:t>
      </w:r>
      <w:r>
        <w:rPr>
          <w:rFonts w:eastAsia="Calibri"/>
          <w:szCs w:val="28"/>
          <w:lang w:eastAsia="en-US"/>
        </w:rPr>
        <w:t xml:space="preserve">Договору №_____ про часткову компенсацію сплачених відсотків за банківським кредитом </w:t>
      </w:r>
      <w:r>
        <w:rPr>
          <w:rFonts w:eastAsia="Calibri"/>
          <w:szCs w:val="28"/>
          <w:lang w:val="uk-UA" w:eastAsia="uk-UA"/>
        </w:rPr>
        <w:t>від «_____» ______________ 20___ р.» додати «орієнтовна».</w:t>
      </w:r>
    </w:p>
    <w:p w:rsidR="00F74483" w:rsidRDefault="00F74483" w:rsidP="00F74483">
      <w:pPr>
        <w:shd w:val="clear" w:color="auto" w:fill="FFFFFF"/>
        <w:jc w:val="both"/>
        <w:textAlignment w:val="baseline"/>
        <w:rPr>
          <w:szCs w:val="28"/>
          <w:lang w:val="uk-UA"/>
        </w:rPr>
      </w:pPr>
      <w:r>
        <w:rPr>
          <w:rFonts w:eastAsia="Calibri"/>
          <w:szCs w:val="28"/>
          <w:shd w:val="clear" w:color="auto" w:fill="FFFFFF"/>
          <w:lang w:val="uk-UA" w:eastAsia="en-US"/>
        </w:rPr>
        <w:tab/>
      </w:r>
      <w:r>
        <w:rPr>
          <w:rFonts w:eastAsia="Calibri"/>
          <w:szCs w:val="28"/>
          <w:shd w:val="clear" w:color="auto" w:fill="FFFFFF"/>
          <w:lang w:val="uk-UA" w:eastAsia="en-US"/>
        </w:rPr>
        <w:tab/>
        <w:t>9.2)  Пункт 4 виключити, а пункти 5, 6, 7 вважати відповідно пунктами 4, 5, 6.</w:t>
      </w:r>
    </w:p>
    <w:p w:rsidR="00F74483" w:rsidRDefault="00F74483" w:rsidP="00F74483">
      <w:pPr>
        <w:widowControl w:val="0"/>
        <w:jc w:val="both"/>
        <w:rPr>
          <w:szCs w:val="28"/>
          <w:lang w:val="uk-UA"/>
        </w:rPr>
      </w:pPr>
    </w:p>
    <w:p w:rsidR="00F74483" w:rsidRDefault="00F74483" w:rsidP="00F74483">
      <w:pPr>
        <w:widowControl w:val="0"/>
        <w:jc w:val="both"/>
        <w:rPr>
          <w:szCs w:val="28"/>
          <w:lang w:val="uk-UA"/>
        </w:rPr>
      </w:pPr>
    </w:p>
    <w:p w:rsidR="00F74483" w:rsidRDefault="00F74483" w:rsidP="00F74483">
      <w:pPr>
        <w:widowControl w:val="0"/>
        <w:jc w:val="both"/>
      </w:pPr>
      <w:r>
        <w:rPr>
          <w:szCs w:val="28"/>
          <w:lang w:val="uk-UA"/>
        </w:rPr>
        <w:t>Голова                                                                                        В.О. Долиняк</w:t>
      </w:r>
    </w:p>
    <w:p w:rsidR="00F74483" w:rsidRDefault="00F74483" w:rsidP="00F74483">
      <w:pPr>
        <w:shd w:val="clear" w:color="auto" w:fill="FFFFFF"/>
        <w:jc w:val="both"/>
        <w:textAlignment w:val="baseline"/>
      </w:pPr>
    </w:p>
    <w:p w:rsidR="000D772F" w:rsidRDefault="00F74483">
      <w:bookmarkStart w:id="1" w:name="_GoBack"/>
      <w:bookmarkEnd w:id="1"/>
    </w:p>
    <w:sectPr w:rsidR="000D772F">
      <w:pgSz w:w="11906" w:h="16838"/>
      <w:pgMar w:top="851" w:right="566"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83"/>
    <w:rsid w:val="00364696"/>
    <w:rsid w:val="00DF6A26"/>
    <w:rsid w:val="00F74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483"/>
    <w:pPr>
      <w:suppressAutoHyphens/>
      <w:spacing w:after="0" w:line="240" w:lineRule="auto"/>
    </w:pPr>
    <w:rPr>
      <w:rFonts w:ascii="Times New Roman" w:eastAsia="Times New Roman" w:hAnsi="Times New Roman" w:cs="Times New Roman"/>
      <w:color w:val="000000"/>
      <w:sz w:val="28"/>
      <w:szCs w:val="3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rsid w:val="00F74483"/>
    <w:pPr>
      <w:suppressAutoHyphens/>
      <w:spacing w:after="0" w:line="240" w:lineRule="auto"/>
    </w:pPr>
    <w:rPr>
      <w:rFonts w:ascii="Times New Roman" w:eastAsia="Times New Roman" w:hAnsi="Times New Roman" w:cs="Times New Roman"/>
      <w:sz w:val="20"/>
      <w:szCs w:val="20"/>
      <w:lang w:eastAsia="zh-CN"/>
    </w:rPr>
  </w:style>
  <w:style w:type="paragraph" w:styleId="HTML">
    <w:name w:val="HTML Preformatted"/>
    <w:basedOn w:val="a"/>
    <w:link w:val="HTML0"/>
    <w:rsid w:val="00F7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F74483"/>
    <w:rPr>
      <w:rFonts w:ascii="Courier New" w:eastAsia="Times New Roman" w:hAnsi="Courier New" w:cs="Courier New"/>
      <w:sz w:val="20"/>
      <w:szCs w:val="20"/>
      <w:lang w:eastAsia="zh-CN"/>
    </w:rPr>
  </w:style>
  <w:style w:type="paragraph" w:customStyle="1" w:styleId="a3">
    <w:name w:val="Содержимое таблицы"/>
    <w:basedOn w:val="a"/>
    <w:rsid w:val="00F74483"/>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483"/>
    <w:pPr>
      <w:suppressAutoHyphens/>
      <w:spacing w:after="0" w:line="240" w:lineRule="auto"/>
    </w:pPr>
    <w:rPr>
      <w:rFonts w:ascii="Times New Roman" w:eastAsia="Times New Roman" w:hAnsi="Times New Roman" w:cs="Times New Roman"/>
      <w:color w:val="000000"/>
      <w:sz w:val="28"/>
      <w:szCs w:val="3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rsid w:val="00F74483"/>
    <w:pPr>
      <w:suppressAutoHyphens/>
      <w:spacing w:after="0" w:line="240" w:lineRule="auto"/>
    </w:pPr>
    <w:rPr>
      <w:rFonts w:ascii="Times New Roman" w:eastAsia="Times New Roman" w:hAnsi="Times New Roman" w:cs="Times New Roman"/>
      <w:sz w:val="20"/>
      <w:szCs w:val="20"/>
      <w:lang w:eastAsia="zh-CN"/>
    </w:rPr>
  </w:style>
  <w:style w:type="paragraph" w:styleId="HTML">
    <w:name w:val="HTML Preformatted"/>
    <w:basedOn w:val="a"/>
    <w:link w:val="HTML0"/>
    <w:rsid w:val="00F7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F74483"/>
    <w:rPr>
      <w:rFonts w:ascii="Courier New" w:eastAsia="Times New Roman" w:hAnsi="Courier New" w:cs="Courier New"/>
      <w:sz w:val="20"/>
      <w:szCs w:val="20"/>
      <w:lang w:eastAsia="zh-CN"/>
    </w:rPr>
  </w:style>
  <w:style w:type="paragraph" w:customStyle="1" w:styleId="a3">
    <w:name w:val="Содержимое таблицы"/>
    <w:basedOn w:val="a"/>
    <w:rsid w:val="00F74483"/>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845</Words>
  <Characters>4822</Characters>
  <Application>Microsoft Office Word</Application>
  <DocSecurity>0</DocSecurity>
  <Lines>40</Lines>
  <Paragraphs>11</Paragraphs>
  <ScaleCrop>false</ScaleCrop>
  <Company>SPecialiST RePack</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2018-12-06T08:40:00Z</dcterms:created>
  <dcterms:modified xsi:type="dcterms:W3CDTF">2018-12-06T08:42:00Z</dcterms:modified>
</cp:coreProperties>
</file>